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50" w:rsidRDefault="008A4050" w:rsidP="00AC22D0">
      <w:pPr>
        <w:spacing w:after="0" w:line="240" w:lineRule="auto"/>
        <w:rPr>
          <w:rFonts w:ascii="Times New Roman" w:hAnsi="Times New Roman" w:cs="Times New Roman"/>
          <w:sz w:val="24"/>
          <w:szCs w:val="24"/>
          <w:lang w:val="tr-TR"/>
        </w:rPr>
      </w:pPr>
    </w:p>
    <w:p w:rsidR="008A4050" w:rsidRDefault="008A4050" w:rsidP="008A4050">
      <w:pPr>
        <w:tabs>
          <w:tab w:val="left" w:pos="426"/>
        </w:tabs>
        <w:spacing w:line="240" w:lineRule="auto"/>
        <w:jc w:val="both"/>
        <w:rPr>
          <w:rFonts w:ascii="Times New Roman" w:hAnsi="Times New Roman" w:cs="Times New Roman"/>
          <w:sz w:val="24"/>
          <w:szCs w:val="24"/>
          <w:lang w:val="tr-TR"/>
        </w:rPr>
      </w:pPr>
    </w:p>
    <w:p w:rsidR="008A4050" w:rsidRPr="008A4050" w:rsidRDefault="008A4050" w:rsidP="008A4050">
      <w:pPr>
        <w:tabs>
          <w:tab w:val="left" w:pos="426"/>
        </w:tabs>
        <w:spacing w:line="240" w:lineRule="auto"/>
        <w:jc w:val="center"/>
        <w:rPr>
          <w:rFonts w:ascii="Times New Roman" w:hAnsi="Times New Roman" w:cs="Times New Roman"/>
          <w:b/>
          <w:sz w:val="24"/>
          <w:szCs w:val="24"/>
          <w:lang w:val="tr-TR"/>
        </w:rPr>
      </w:pPr>
      <w:r w:rsidRPr="008A4050">
        <w:rPr>
          <w:rFonts w:ascii="Times New Roman" w:hAnsi="Times New Roman" w:cs="Times New Roman"/>
          <w:b/>
          <w:sz w:val="24"/>
          <w:szCs w:val="24"/>
          <w:lang w:val="tr-TR"/>
        </w:rPr>
        <w:t>Sınıfta Çeşitlilik</w:t>
      </w:r>
    </w:p>
    <w:p w:rsidR="008A4050" w:rsidRPr="008A4050" w:rsidRDefault="008A4050" w:rsidP="008A4050">
      <w:pPr>
        <w:spacing w:line="240" w:lineRule="auto"/>
        <w:ind w:firstLine="426"/>
        <w:jc w:val="center"/>
        <w:rPr>
          <w:rFonts w:ascii="Times New Roman" w:hAnsi="Times New Roman" w:cs="Times New Roman"/>
          <w:b/>
          <w:sz w:val="24"/>
          <w:szCs w:val="24"/>
          <w:lang w:val="tr-TR"/>
        </w:rPr>
      </w:pPr>
      <w:r w:rsidRPr="008A4050">
        <w:rPr>
          <w:rFonts w:ascii="Times New Roman" w:hAnsi="Times New Roman" w:cs="Times New Roman"/>
          <w:b/>
          <w:sz w:val="24"/>
          <w:szCs w:val="24"/>
          <w:lang w:val="tr-TR"/>
        </w:rPr>
        <w:t>Öğretmenler Başarıyı Nasıl Teşvik Edebilir?</w:t>
      </w:r>
    </w:p>
    <w:p w:rsidR="008A4050" w:rsidRPr="008A4050" w:rsidRDefault="008A4050" w:rsidP="008A4050">
      <w:pPr>
        <w:tabs>
          <w:tab w:val="left" w:pos="426"/>
        </w:tabs>
        <w:spacing w:line="240" w:lineRule="auto"/>
        <w:jc w:val="both"/>
        <w:rPr>
          <w:rFonts w:ascii="Times New Roman" w:hAnsi="Times New Roman" w:cs="Times New Roman"/>
          <w:sz w:val="24"/>
          <w:szCs w:val="24"/>
          <w:lang w:val="tr-TR"/>
        </w:rPr>
      </w:pPr>
      <w:proofErr w:type="gramStart"/>
      <w:r w:rsidRPr="008A4050">
        <w:rPr>
          <w:rFonts w:ascii="Times New Roman" w:hAnsi="Times New Roman" w:cs="Times New Roman"/>
          <w:sz w:val="24"/>
          <w:szCs w:val="24"/>
          <w:lang w:val="tr-TR"/>
        </w:rPr>
        <w:t xml:space="preserve">Berlin </w:t>
      </w:r>
      <w:proofErr w:type="spellStart"/>
      <w:r w:rsidRPr="008A4050">
        <w:rPr>
          <w:rFonts w:ascii="Times New Roman" w:hAnsi="Times New Roman" w:cs="Times New Roman"/>
          <w:sz w:val="24"/>
          <w:szCs w:val="24"/>
          <w:lang w:val="tr-TR"/>
        </w:rPr>
        <w:t>Humboldt</w:t>
      </w:r>
      <w:proofErr w:type="spellEnd"/>
      <w:r w:rsidRPr="008A4050">
        <w:rPr>
          <w:rFonts w:ascii="Times New Roman" w:hAnsi="Times New Roman" w:cs="Times New Roman"/>
          <w:sz w:val="24"/>
          <w:szCs w:val="24"/>
          <w:lang w:val="tr-TR"/>
        </w:rPr>
        <w:t xml:space="preserve"> Üniversitesi bünyesinde bulunan </w:t>
      </w:r>
      <w:proofErr w:type="spellStart"/>
      <w:r w:rsidRPr="008A4050">
        <w:rPr>
          <w:rFonts w:ascii="Times New Roman" w:eastAsia="Times New Roman" w:hAnsi="Times New Roman" w:cs="Times New Roman"/>
          <w:color w:val="000000"/>
          <w:sz w:val="24"/>
          <w:szCs w:val="24"/>
          <w:lang w:val="tr-TR"/>
        </w:rPr>
        <w:t>Berliner</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Instituts</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für</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empirische</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Integrations</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und</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Migrationsforschung</w:t>
      </w:r>
      <w:proofErr w:type="spellEnd"/>
      <w:r w:rsidRPr="008A4050">
        <w:rPr>
          <w:rFonts w:ascii="Times New Roman" w:eastAsia="Times New Roman" w:hAnsi="Times New Roman" w:cs="Times New Roman"/>
          <w:color w:val="000000"/>
          <w:sz w:val="24"/>
          <w:szCs w:val="24"/>
          <w:lang w:val="tr-TR"/>
        </w:rPr>
        <w:t xml:space="preserve"> (BIM) (Entegrasyon ve Göç Araştırmaları Enstitüsü)  ve </w:t>
      </w:r>
      <w:proofErr w:type="spellStart"/>
      <w:r w:rsidRPr="008A4050">
        <w:rPr>
          <w:rFonts w:ascii="Times New Roman" w:eastAsia="Times New Roman" w:hAnsi="Times New Roman" w:cs="Times New Roman"/>
          <w:color w:val="000000"/>
          <w:sz w:val="24"/>
          <w:szCs w:val="24"/>
          <w:lang w:val="tr-TR"/>
        </w:rPr>
        <w:t>Forschungsbereich</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beim</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Sachverständigenrat</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deutscher</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Stiftungen</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für</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Integration</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und</w:t>
      </w:r>
      <w:proofErr w:type="spellEnd"/>
      <w:r w:rsidRPr="008A4050">
        <w:rPr>
          <w:rFonts w:ascii="Times New Roman" w:eastAsia="Times New Roman" w:hAnsi="Times New Roman" w:cs="Times New Roman"/>
          <w:color w:val="000000"/>
          <w:sz w:val="24"/>
          <w:szCs w:val="24"/>
          <w:lang w:val="tr-TR"/>
        </w:rPr>
        <w:t xml:space="preserve"> </w:t>
      </w:r>
      <w:proofErr w:type="spellStart"/>
      <w:r w:rsidRPr="008A4050">
        <w:rPr>
          <w:rFonts w:ascii="Times New Roman" w:eastAsia="Times New Roman" w:hAnsi="Times New Roman" w:cs="Times New Roman"/>
          <w:color w:val="000000"/>
          <w:sz w:val="24"/>
          <w:szCs w:val="24"/>
          <w:lang w:val="tr-TR"/>
        </w:rPr>
        <w:t>Migration</w:t>
      </w:r>
      <w:proofErr w:type="spellEnd"/>
      <w:r w:rsidRPr="008A4050">
        <w:rPr>
          <w:rFonts w:ascii="Times New Roman" w:eastAsia="Times New Roman" w:hAnsi="Times New Roman" w:cs="Times New Roman"/>
          <w:color w:val="000000"/>
          <w:sz w:val="24"/>
          <w:szCs w:val="24"/>
          <w:lang w:val="tr-TR"/>
        </w:rPr>
        <w:t xml:space="preserve"> (SVR-</w:t>
      </w:r>
      <w:proofErr w:type="spellStart"/>
      <w:r w:rsidRPr="008A4050">
        <w:rPr>
          <w:rFonts w:ascii="Times New Roman" w:eastAsia="Times New Roman" w:hAnsi="Times New Roman" w:cs="Times New Roman"/>
          <w:color w:val="000000"/>
          <w:sz w:val="24"/>
          <w:szCs w:val="24"/>
          <w:lang w:val="tr-TR"/>
        </w:rPr>
        <w:t>Forschungsbereich</w:t>
      </w:r>
      <w:proofErr w:type="spellEnd"/>
      <w:r w:rsidRPr="008A4050">
        <w:rPr>
          <w:rFonts w:ascii="Times New Roman" w:eastAsia="Times New Roman" w:hAnsi="Times New Roman" w:cs="Times New Roman"/>
          <w:color w:val="000000"/>
          <w:sz w:val="24"/>
          <w:szCs w:val="24"/>
          <w:lang w:val="tr-TR"/>
        </w:rPr>
        <w:t xml:space="preserve">) (Alman Vakıfları Bilirkişi Kurulu </w:t>
      </w:r>
      <w:proofErr w:type="spellStart"/>
      <w:r w:rsidRPr="008A4050">
        <w:rPr>
          <w:rFonts w:ascii="Times New Roman" w:eastAsia="Times New Roman" w:hAnsi="Times New Roman" w:cs="Times New Roman"/>
          <w:color w:val="000000"/>
          <w:sz w:val="24"/>
          <w:szCs w:val="24"/>
          <w:lang w:val="tr-TR"/>
        </w:rPr>
        <w:t>Araştırrma</w:t>
      </w:r>
      <w:proofErr w:type="spellEnd"/>
      <w:r w:rsidRPr="008A4050">
        <w:rPr>
          <w:rFonts w:ascii="Times New Roman" w:eastAsia="Times New Roman" w:hAnsi="Times New Roman" w:cs="Times New Roman"/>
          <w:color w:val="000000"/>
          <w:sz w:val="24"/>
          <w:szCs w:val="24"/>
          <w:lang w:val="tr-TR"/>
        </w:rPr>
        <w:t xml:space="preserve"> Bölümü) tarafından yapılan "</w:t>
      </w:r>
      <w:r w:rsidRPr="008A4050">
        <w:rPr>
          <w:rFonts w:ascii="Times New Roman" w:hAnsi="Times New Roman" w:cs="Times New Roman"/>
          <w:sz w:val="24"/>
          <w:szCs w:val="24"/>
          <w:lang w:val="tr-TR"/>
        </w:rPr>
        <w:t xml:space="preserve">Sınıfta Çeşitlilik: Öğretmenlerin Başarıyı Nasıl Teşvik Edebileceği"ne dair araştırma sonuçları 7 Haziran 2017 tarihinde yayımlandı. </w:t>
      </w:r>
      <w:proofErr w:type="spellStart"/>
      <w:proofErr w:type="gramEnd"/>
      <w:r w:rsidRPr="008A4050">
        <w:rPr>
          <w:rFonts w:ascii="Times New Roman" w:hAnsi="Times New Roman" w:cs="Times New Roman"/>
          <w:sz w:val="24"/>
          <w:szCs w:val="24"/>
          <w:lang w:val="tr-TR"/>
        </w:rPr>
        <w:t>Mercator</w:t>
      </w:r>
      <w:proofErr w:type="spellEnd"/>
      <w:r w:rsidRPr="008A4050">
        <w:rPr>
          <w:rFonts w:ascii="Times New Roman" w:hAnsi="Times New Roman" w:cs="Times New Roman"/>
          <w:sz w:val="24"/>
          <w:szCs w:val="24"/>
          <w:lang w:val="tr-TR"/>
        </w:rPr>
        <w:t xml:space="preserve"> Vakfı tarafından desteklenen araştırmada, Türk ya da Arap kökenli öğrencilerin göç kökeni olmayan öğrencilere göre daha az eğitim şansı olduğu ortaya çıktı. Araştırmada, eğitim hayatında ihmal edilen öğrencilerin başarılarının artırılmasına yönelik ne tür stratejilerin geliştirilebileceği de gösterilmektedir.</w:t>
      </w:r>
    </w:p>
    <w:p w:rsidR="008A4050" w:rsidRPr="008A4050" w:rsidRDefault="008A4050" w:rsidP="008A4050">
      <w:pPr>
        <w:tabs>
          <w:tab w:val="left" w:pos="426"/>
        </w:tabs>
        <w:spacing w:line="240" w:lineRule="auto"/>
        <w:jc w:val="both"/>
        <w:rPr>
          <w:rFonts w:ascii="Times New Roman" w:eastAsia="Times New Roman" w:hAnsi="Times New Roman" w:cs="Times New Roman"/>
          <w:bCs/>
          <w:sz w:val="24"/>
          <w:szCs w:val="24"/>
          <w:lang w:val="tr-TR"/>
        </w:rPr>
      </w:pPr>
      <w:r w:rsidRPr="008A4050">
        <w:rPr>
          <w:rFonts w:ascii="Times New Roman" w:eastAsia="Times New Roman" w:hAnsi="Times New Roman" w:cs="Times New Roman"/>
          <w:bCs/>
          <w:sz w:val="24"/>
          <w:szCs w:val="24"/>
          <w:lang w:val="tr-TR"/>
        </w:rPr>
        <w:t xml:space="preserve">Araştırma sonuçlarına göre öğretmenlerin normal halka göre sınıflardaki çeşitliliğe karşı daha liberal yaklaştıkları ortaya çıktı. </w:t>
      </w:r>
      <w:proofErr w:type="gramStart"/>
      <w:r w:rsidRPr="008A4050">
        <w:rPr>
          <w:rFonts w:ascii="Times New Roman" w:eastAsia="Times New Roman" w:hAnsi="Times New Roman" w:cs="Times New Roman"/>
          <w:bCs/>
          <w:sz w:val="24"/>
          <w:szCs w:val="24"/>
          <w:lang w:val="tr-TR"/>
        </w:rPr>
        <w:t>Ancak  Türk</w:t>
      </w:r>
      <w:proofErr w:type="gramEnd"/>
      <w:r w:rsidRPr="008A4050">
        <w:rPr>
          <w:rFonts w:ascii="Times New Roman" w:eastAsia="Times New Roman" w:hAnsi="Times New Roman" w:cs="Times New Roman"/>
          <w:bCs/>
          <w:sz w:val="24"/>
          <w:szCs w:val="24"/>
          <w:lang w:val="tr-TR"/>
        </w:rPr>
        <w:t xml:space="preserve"> çocuklarının başarı beklentileri sorulduğunda öğretmenlerin göç geçmişi olmayan öğrencilerle kısasla Türk kökenli öğrencilere yönelik başarı beklentilerinin daha düşük olduğu ortaya çıktı. Bu tutumun ise öğrencilerin başarısına olumsuz etki edebileceği dile getirildi. </w:t>
      </w:r>
      <w:proofErr w:type="gramStart"/>
      <w:r w:rsidRPr="008A4050">
        <w:rPr>
          <w:rFonts w:ascii="Times New Roman" w:eastAsia="Times New Roman" w:hAnsi="Times New Roman" w:cs="Times New Roman"/>
          <w:bCs/>
          <w:sz w:val="24"/>
          <w:szCs w:val="24"/>
          <w:lang w:val="tr-TR"/>
        </w:rPr>
        <w:t xml:space="preserve">Öğrencilerin okulda başarılı olabileceği duygusunu destekleyen çalışmaların yapılması bu durumdan etkilenen öğrencilerin başarılarının artırılmasına katkı sağlayabileceği belirtilmekte. </w:t>
      </w:r>
      <w:proofErr w:type="gramEnd"/>
    </w:p>
    <w:p w:rsidR="008A4050" w:rsidRPr="008A4050" w:rsidRDefault="008A4050" w:rsidP="008A4050">
      <w:pPr>
        <w:tabs>
          <w:tab w:val="left" w:pos="426"/>
        </w:tabs>
        <w:spacing w:line="240" w:lineRule="auto"/>
        <w:jc w:val="both"/>
        <w:rPr>
          <w:rFonts w:ascii="Times New Roman" w:eastAsia="Times New Roman" w:hAnsi="Times New Roman" w:cs="Times New Roman"/>
          <w:bCs/>
          <w:sz w:val="24"/>
          <w:szCs w:val="24"/>
          <w:lang w:val="tr-TR"/>
        </w:rPr>
      </w:pPr>
      <w:r w:rsidRPr="008A4050">
        <w:rPr>
          <w:rFonts w:ascii="Times New Roman" w:eastAsia="Times New Roman" w:hAnsi="Times New Roman" w:cs="Times New Roman"/>
          <w:bCs/>
          <w:sz w:val="24"/>
          <w:szCs w:val="24"/>
          <w:lang w:val="tr-TR"/>
        </w:rPr>
        <w:t>Araştırma sonuçlarına şu linkten ulaşılabilir:</w:t>
      </w:r>
    </w:p>
    <w:p w:rsidR="008A4050" w:rsidRPr="008A4050" w:rsidRDefault="008A4050" w:rsidP="008A4050">
      <w:pPr>
        <w:tabs>
          <w:tab w:val="left" w:pos="426"/>
        </w:tabs>
        <w:spacing w:line="240" w:lineRule="auto"/>
        <w:jc w:val="both"/>
        <w:rPr>
          <w:rFonts w:ascii="Times New Roman" w:eastAsia="Times New Roman" w:hAnsi="Times New Roman" w:cs="Times New Roman"/>
          <w:bCs/>
          <w:sz w:val="24"/>
          <w:szCs w:val="24"/>
          <w:lang w:val="tr-TR"/>
        </w:rPr>
      </w:pPr>
      <w:r w:rsidRPr="008A4050">
        <w:rPr>
          <w:rFonts w:ascii="Times New Roman" w:eastAsia="Times New Roman" w:hAnsi="Times New Roman" w:cs="Times New Roman"/>
          <w:bCs/>
          <w:sz w:val="24"/>
          <w:szCs w:val="24"/>
          <w:lang w:val="tr-TR"/>
        </w:rPr>
        <w:t>https://www.svr-migration.de/publikationen/vielfalt-im-klassenzimmer/</w:t>
      </w:r>
    </w:p>
    <w:p w:rsidR="008A4050" w:rsidRPr="008A4050" w:rsidRDefault="008A4050" w:rsidP="008A4050">
      <w:pPr>
        <w:tabs>
          <w:tab w:val="left" w:pos="426"/>
        </w:tabs>
        <w:spacing w:line="240" w:lineRule="auto"/>
        <w:jc w:val="both"/>
        <w:rPr>
          <w:rFonts w:ascii="Times New Roman" w:eastAsia="Times New Roman" w:hAnsi="Times New Roman" w:cs="Times New Roman"/>
          <w:bCs/>
          <w:sz w:val="24"/>
          <w:szCs w:val="24"/>
          <w:lang w:val="tr-TR"/>
        </w:rPr>
      </w:pPr>
      <w:r w:rsidRPr="008A4050">
        <w:rPr>
          <w:rFonts w:ascii="Times New Roman" w:eastAsia="Times New Roman" w:hAnsi="Times New Roman" w:cs="Times New Roman"/>
          <w:bCs/>
          <w:sz w:val="24"/>
          <w:szCs w:val="24"/>
          <w:lang w:val="tr-TR"/>
        </w:rPr>
        <w:t xml:space="preserve">Aşağıda </w:t>
      </w:r>
      <w:proofErr w:type="spellStart"/>
      <w:r w:rsidRPr="008A4050">
        <w:rPr>
          <w:rFonts w:ascii="Times New Roman" w:eastAsia="Times New Roman" w:hAnsi="Times New Roman" w:cs="Times New Roman"/>
          <w:bCs/>
          <w:sz w:val="24"/>
          <w:szCs w:val="24"/>
          <w:lang w:val="tr-TR"/>
        </w:rPr>
        <w:t>iligli</w:t>
      </w:r>
      <w:proofErr w:type="spellEnd"/>
      <w:r w:rsidRPr="008A4050">
        <w:rPr>
          <w:rFonts w:ascii="Times New Roman" w:eastAsia="Times New Roman" w:hAnsi="Times New Roman" w:cs="Times New Roman"/>
          <w:bCs/>
          <w:sz w:val="24"/>
          <w:szCs w:val="24"/>
          <w:lang w:val="tr-TR"/>
        </w:rPr>
        <w:t xml:space="preserve"> araştırmadan elde </w:t>
      </w:r>
      <w:proofErr w:type="gramStart"/>
      <w:r w:rsidRPr="008A4050">
        <w:rPr>
          <w:rFonts w:ascii="Times New Roman" w:eastAsia="Times New Roman" w:hAnsi="Times New Roman" w:cs="Times New Roman"/>
          <w:bCs/>
          <w:sz w:val="24"/>
          <w:szCs w:val="24"/>
          <w:lang w:val="tr-TR"/>
        </w:rPr>
        <w:t>edilen  sonuçlara</w:t>
      </w:r>
      <w:proofErr w:type="gramEnd"/>
      <w:r w:rsidRPr="008A4050">
        <w:rPr>
          <w:rFonts w:ascii="Times New Roman" w:eastAsia="Times New Roman" w:hAnsi="Times New Roman" w:cs="Times New Roman"/>
          <w:bCs/>
          <w:sz w:val="24"/>
          <w:szCs w:val="24"/>
          <w:lang w:val="tr-TR"/>
        </w:rPr>
        <w:t xml:space="preserve"> kısaca değinilmektedir. </w:t>
      </w:r>
    </w:p>
    <w:p w:rsidR="008A4050" w:rsidRPr="008A4050" w:rsidRDefault="008A4050" w:rsidP="008A4050">
      <w:pPr>
        <w:tabs>
          <w:tab w:val="left" w:pos="426"/>
        </w:tabs>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0. </w:t>
      </w:r>
      <w:r w:rsidRPr="008A4050">
        <w:rPr>
          <w:rFonts w:ascii="Times New Roman" w:hAnsi="Times New Roman" w:cs="Times New Roman"/>
          <w:b/>
          <w:sz w:val="24"/>
          <w:szCs w:val="24"/>
          <w:lang w:val="tr-TR"/>
        </w:rPr>
        <w:tab/>
        <w:t>Sınıfta Çeşitlilik</w:t>
      </w:r>
    </w:p>
    <w:p w:rsidR="008A4050" w:rsidRPr="008A4050" w:rsidRDefault="008A4050" w:rsidP="008A4050">
      <w:pPr>
        <w:spacing w:line="240" w:lineRule="auto"/>
        <w:ind w:firstLine="426"/>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Öğretmenlerin Başarıyı Nasıl Teşvik Edebileceğine Dair</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Alman eğitim sisteminde göçmen ailelerinin çocukları göç kökenli olmayan çocuklara göre hala daha başarısızdır.  Bu farklılıkları ortadan kaldırmak sadece göçmen ailelerinin ve eğitim sisteminin görevi değildir. Bu süreçte öğretmenler de rol oynamaktadır. Bu konuyla ilgili Berlin Ampirik Entegrasyon ile Göç Araştırmaları </w:t>
      </w:r>
      <w:proofErr w:type="gramStart"/>
      <w:r w:rsidRPr="008A4050">
        <w:rPr>
          <w:rFonts w:ascii="Times New Roman" w:hAnsi="Times New Roman" w:cs="Times New Roman"/>
          <w:sz w:val="24"/>
          <w:szCs w:val="24"/>
          <w:lang w:val="tr-TR"/>
        </w:rPr>
        <w:t>Enstitüsü,</w:t>
      </w:r>
      <w:proofErr w:type="gramEnd"/>
      <w:r w:rsidRPr="008A4050">
        <w:rPr>
          <w:rFonts w:ascii="Times New Roman" w:hAnsi="Times New Roman" w:cs="Times New Roman"/>
          <w:sz w:val="24"/>
          <w:szCs w:val="24"/>
          <w:lang w:val="tr-TR"/>
        </w:rPr>
        <w:t xml:space="preserve"> ve Alman Entegrasyon ve Göç Vakfı Danışma Kurulu’nun araştırma birimi </w:t>
      </w:r>
      <w:proofErr w:type="spellStart"/>
      <w:r w:rsidRPr="008A4050">
        <w:rPr>
          <w:rFonts w:ascii="Times New Roman" w:hAnsi="Times New Roman" w:cs="Times New Roman"/>
          <w:sz w:val="24"/>
          <w:szCs w:val="24"/>
          <w:lang w:val="tr-TR"/>
        </w:rPr>
        <w:t>Mercator</w:t>
      </w:r>
      <w:proofErr w:type="spellEnd"/>
      <w:r w:rsidRPr="008A4050">
        <w:rPr>
          <w:rFonts w:ascii="Times New Roman" w:hAnsi="Times New Roman" w:cs="Times New Roman"/>
          <w:sz w:val="24"/>
          <w:szCs w:val="24"/>
          <w:lang w:val="tr-TR"/>
        </w:rPr>
        <w:t xml:space="preserve"> Vakfı tarafından desteklenen ortak bir araştırma projesi yürütmüşlerdir. Üç ayrı proje </w:t>
      </w:r>
      <w:proofErr w:type="gramStart"/>
      <w:r w:rsidRPr="008A4050">
        <w:rPr>
          <w:rFonts w:ascii="Times New Roman" w:hAnsi="Times New Roman" w:cs="Times New Roman"/>
          <w:sz w:val="24"/>
          <w:szCs w:val="24"/>
          <w:lang w:val="tr-TR"/>
        </w:rPr>
        <w:t>ile,</w:t>
      </w:r>
      <w:proofErr w:type="gramEnd"/>
      <w:r w:rsidRPr="008A4050">
        <w:rPr>
          <w:rFonts w:ascii="Times New Roman" w:hAnsi="Times New Roman" w:cs="Times New Roman"/>
          <w:sz w:val="24"/>
          <w:szCs w:val="24"/>
          <w:lang w:val="tr-TR"/>
        </w:rPr>
        <w:t xml:space="preserve"> öğretmenlerin başarı beklentisinin göç kökenli çocukların başarısını ne ölçüde etkilediği ve olumsuz etkenlere nasıl karşı konulabileceği araştırılmıştır. </w:t>
      </w: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1. Proje 1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Proje 1’de öğretmenlerin kültürel çeşitliliğin açılarını nasıl değerlendirdikleri araştırılmıştır. Bu araştırmada başlıca şu araştırma soruları üzerinde durulmuştur: </w:t>
      </w:r>
    </w:p>
    <w:p w:rsidR="008A4050" w:rsidRPr="008A4050" w:rsidRDefault="008A4050" w:rsidP="008A4050">
      <w:pPr>
        <w:numPr>
          <w:ilvl w:val="0"/>
          <w:numId w:val="1"/>
        </w:numPr>
        <w:spacing w:after="0"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Öğretmenlere göre Alman olabilmek için hangi özellikler gereklidir?</w:t>
      </w:r>
    </w:p>
    <w:p w:rsidR="008A4050" w:rsidRPr="008A4050" w:rsidRDefault="008A4050" w:rsidP="008A4050">
      <w:pPr>
        <w:numPr>
          <w:ilvl w:val="0"/>
          <w:numId w:val="1"/>
        </w:numPr>
        <w:spacing w:after="0"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Öğretmenler dinsel-siyasal hangi tutumu göstermektedirler?</w:t>
      </w:r>
    </w:p>
    <w:p w:rsidR="008A4050" w:rsidRPr="008A4050" w:rsidRDefault="008A4050" w:rsidP="008A4050">
      <w:pPr>
        <w:numPr>
          <w:ilvl w:val="0"/>
          <w:numId w:val="1"/>
        </w:numPr>
        <w:spacing w:after="0"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Öğretmenler Müslümanlar konusunda ne düşünmektedirler?    </w:t>
      </w:r>
    </w:p>
    <w:p w:rsidR="008A4050" w:rsidRPr="008A4050" w:rsidRDefault="008A4050" w:rsidP="008A4050">
      <w:pPr>
        <w:numPr>
          <w:ilvl w:val="0"/>
          <w:numId w:val="1"/>
        </w:numPr>
        <w:spacing w:after="0"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Öğretmenler kendi ifadelerine göre Müslümanlar ile ilgili neler bilmektedirler?</w:t>
      </w:r>
    </w:p>
    <w:p w:rsidR="008A4050" w:rsidRPr="008A4050" w:rsidRDefault="008A4050" w:rsidP="008A4050">
      <w:pPr>
        <w:numPr>
          <w:ilvl w:val="0"/>
          <w:numId w:val="1"/>
        </w:numPr>
        <w:spacing w:after="0"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Öğretmenlerin görüşleri tüm toplumda yaygın olan görüşle farklılık gösteriyor mu?</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lastRenderedPageBreak/>
        <w:t xml:space="preserve">Yapılan araştırmada telefonla görüşme yöntemi kullanılmıştır. Araştırmanın örneklemini ise 570 öğretmen oluşturmaktadır. Bunlardan 312’si aktif öğretmen, 208’si eski öğretmen ve 50’si öğretmen adayıdır.  </w:t>
      </w:r>
    </w:p>
    <w:p w:rsidR="008A4050" w:rsidRPr="008A4050" w:rsidRDefault="008A4050" w:rsidP="008A4050">
      <w:pPr>
        <w:numPr>
          <w:ilvl w:val="1"/>
          <w:numId w:val="2"/>
        </w:numPr>
        <w:spacing w:after="0"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Öğretmenlere Göre Alman Olmanın Kriterleri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noProof/>
          <w:sz w:val="24"/>
          <w:szCs w:val="24"/>
        </w:rPr>
        <w:drawing>
          <wp:inline distT="0" distB="0" distL="0" distR="0">
            <wp:extent cx="5877531" cy="3673457"/>
            <wp:effectExtent l="19050" t="0" r="27969" b="3193"/>
            <wp:docPr id="1"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Alman olma </w:t>
      </w:r>
      <w:proofErr w:type="gramStart"/>
      <w:r w:rsidRPr="008A4050">
        <w:rPr>
          <w:rFonts w:ascii="Times New Roman" w:hAnsi="Times New Roman" w:cs="Times New Roman"/>
          <w:sz w:val="24"/>
          <w:szCs w:val="24"/>
          <w:lang w:val="tr-TR"/>
        </w:rPr>
        <w:t>kriterleri</w:t>
      </w:r>
      <w:proofErr w:type="gramEnd"/>
      <w:r w:rsidRPr="008A4050">
        <w:rPr>
          <w:rFonts w:ascii="Times New Roman" w:hAnsi="Times New Roman" w:cs="Times New Roman"/>
          <w:sz w:val="24"/>
          <w:szCs w:val="24"/>
          <w:lang w:val="tr-TR"/>
        </w:rPr>
        <w:t xml:space="preserve"> ile ilgili yapılan araştırma sonuçlarına göre Alman olmanın öncelikli kriteri Almanca bilmek (%93,4). Öğretmenlere göre Alman olma </w:t>
      </w:r>
      <w:proofErr w:type="gramStart"/>
      <w:r w:rsidRPr="008A4050">
        <w:rPr>
          <w:rFonts w:ascii="Times New Roman" w:hAnsi="Times New Roman" w:cs="Times New Roman"/>
          <w:sz w:val="24"/>
          <w:szCs w:val="24"/>
          <w:lang w:val="tr-TR"/>
        </w:rPr>
        <w:t>kriterleri</w:t>
      </w:r>
      <w:proofErr w:type="gramEnd"/>
      <w:r w:rsidRPr="008A4050">
        <w:rPr>
          <w:rFonts w:ascii="Times New Roman" w:hAnsi="Times New Roman" w:cs="Times New Roman"/>
          <w:sz w:val="24"/>
          <w:szCs w:val="24"/>
          <w:lang w:val="tr-TR"/>
        </w:rPr>
        <w:t xml:space="preserve"> arasında ikinci sırayı Alman uyruğuna sahip olmak almaktadır (%71).  </w:t>
      </w:r>
      <w:proofErr w:type="gramStart"/>
      <w:r w:rsidRPr="008A4050">
        <w:rPr>
          <w:rFonts w:ascii="Times New Roman" w:hAnsi="Times New Roman" w:cs="Times New Roman"/>
          <w:sz w:val="24"/>
          <w:szCs w:val="24"/>
          <w:lang w:val="tr-TR"/>
        </w:rPr>
        <w:t>Baş örtüsü</w:t>
      </w:r>
      <w:proofErr w:type="gramEnd"/>
      <w:r w:rsidRPr="008A4050">
        <w:rPr>
          <w:rFonts w:ascii="Times New Roman" w:hAnsi="Times New Roman" w:cs="Times New Roman"/>
          <w:sz w:val="24"/>
          <w:szCs w:val="24"/>
          <w:lang w:val="tr-TR"/>
        </w:rPr>
        <w:t xml:space="preserve"> takmamayı Alman olma kriterleri arasında görenlerin oranı ise %37’dir. Ankete katılanların %27’si Alman olmak için Alman ulusundan gelmek gerektiğini düşünmektedir. </w:t>
      </w:r>
    </w:p>
    <w:p w:rsid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Sonuç olarak hem öğretmenlerin hem de toplum nüfusunun çoğunluğu Alman olma </w:t>
      </w:r>
      <w:proofErr w:type="gramStart"/>
      <w:r w:rsidRPr="008A4050">
        <w:rPr>
          <w:rFonts w:ascii="Times New Roman" w:hAnsi="Times New Roman" w:cs="Times New Roman"/>
          <w:sz w:val="24"/>
          <w:szCs w:val="24"/>
          <w:lang w:val="tr-TR"/>
        </w:rPr>
        <w:t>kriterleri</w:t>
      </w:r>
      <w:proofErr w:type="gramEnd"/>
      <w:r w:rsidRPr="008A4050">
        <w:rPr>
          <w:rFonts w:ascii="Times New Roman" w:hAnsi="Times New Roman" w:cs="Times New Roman"/>
          <w:sz w:val="24"/>
          <w:szCs w:val="24"/>
          <w:lang w:val="tr-TR"/>
        </w:rPr>
        <w:t xml:space="preserve"> konusunda liberal bir cevap verme tutumu göstermektedirler. Yani ankete katılanlara göre göç kökenli olan kişiler de Alman olabilirler ve Alman olarak kabul görebilirler. Bu yaklaşımın öğretmenlerde toplam nüfusa oranla daha yaygın olduğu görülmektedir. </w:t>
      </w:r>
    </w:p>
    <w:p w:rsidR="008A4050" w:rsidRDefault="008A4050" w:rsidP="008A4050">
      <w:pPr>
        <w:spacing w:line="240" w:lineRule="auto"/>
        <w:jc w:val="both"/>
        <w:rPr>
          <w:rFonts w:ascii="Times New Roman" w:hAnsi="Times New Roman" w:cs="Times New Roman"/>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p>
    <w:p w:rsidR="008A4050" w:rsidRDefault="008A4050" w:rsidP="00FE4B3D">
      <w:pPr>
        <w:numPr>
          <w:ilvl w:val="1"/>
          <w:numId w:val="2"/>
        </w:numPr>
        <w:spacing w:after="0"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Öğretmenlerin Dinsel-Siyasal Tutumları </w:t>
      </w:r>
    </w:p>
    <w:p w:rsidR="00FE4B3D" w:rsidRPr="00FE4B3D" w:rsidRDefault="00FE4B3D" w:rsidP="00FE4B3D">
      <w:pPr>
        <w:spacing w:after="0" w:line="240" w:lineRule="auto"/>
        <w:ind w:left="360"/>
        <w:jc w:val="both"/>
        <w:rPr>
          <w:rFonts w:ascii="Times New Roman" w:hAnsi="Times New Roman" w:cs="Times New Roman"/>
          <w:b/>
          <w:sz w:val="24"/>
          <w:szCs w:val="24"/>
          <w:lang w:val="tr-TR"/>
        </w:rPr>
      </w:pPr>
      <w:r w:rsidRPr="008A4050">
        <w:rPr>
          <w:rFonts w:ascii="Times New Roman" w:hAnsi="Times New Roman" w:cs="Times New Roman"/>
          <w:noProof/>
          <w:sz w:val="24"/>
          <w:szCs w:val="24"/>
        </w:rPr>
        <w:drawing>
          <wp:inline distT="0" distB="0" distL="0" distR="0">
            <wp:extent cx="5760720" cy="4698795"/>
            <wp:effectExtent l="19050" t="0" r="11430" b="6555"/>
            <wp:docPr id="15" name="Obj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4050" w:rsidRDefault="008A4050" w:rsidP="008A4050">
      <w:pPr>
        <w:spacing w:after="0" w:line="240" w:lineRule="auto"/>
        <w:ind w:left="360"/>
        <w:jc w:val="both"/>
        <w:rPr>
          <w:rFonts w:ascii="Times New Roman" w:hAnsi="Times New Roman" w:cs="Times New Roman"/>
          <w:b/>
          <w:sz w:val="24"/>
          <w:szCs w:val="24"/>
          <w:lang w:val="tr-TR"/>
        </w:rPr>
      </w:pP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Dinsel-siyasal yaklaşım konusundaki araştırma sonuçlarına göre öğretmenlerle nüfusun toplamı arasında az fark saptanmıştır. Öğretmenler, genel din dersinin sunulması gerektiği konusunda toplumun tümü ile aynı görüşü paylaşmaktadır (ikisinde de oran %82’dir). İslam din dersinin sunulmasının oranı, genel din dersi sunulmasının oranına göre daha düşük olmasına karşın öğretmenler ve toplumun geneli sıklıkla gerektiğinde sunulması görüşündedir (Öğretmenler: %70; Genel Toplum: %68,4). Öğretmenler, toplumun geneline göre daha düşük oranda cami inşasında kısıtlamaya gidilmesi gerektiği düşüncesindedirler </w:t>
      </w:r>
      <w:proofErr w:type="gramStart"/>
      <w:r w:rsidRPr="008A4050">
        <w:rPr>
          <w:rFonts w:ascii="Times New Roman" w:hAnsi="Times New Roman" w:cs="Times New Roman"/>
          <w:sz w:val="24"/>
          <w:szCs w:val="24"/>
          <w:lang w:val="tr-TR"/>
        </w:rPr>
        <w:t>(</w:t>
      </w:r>
      <w:proofErr w:type="gramEnd"/>
      <w:r w:rsidRPr="008A4050">
        <w:rPr>
          <w:rFonts w:ascii="Times New Roman" w:hAnsi="Times New Roman" w:cs="Times New Roman"/>
          <w:sz w:val="24"/>
          <w:szCs w:val="24"/>
          <w:lang w:val="tr-TR"/>
        </w:rPr>
        <w:t xml:space="preserve">Öğretmenler: toplumun geneline göre daha az oranla desteklemektedirler (Öğretmenler: %43,4; Genel Toplum: %42,7). Öğretmenlerin </w:t>
      </w:r>
      <w:proofErr w:type="gramStart"/>
      <w:r w:rsidRPr="008A4050">
        <w:rPr>
          <w:rFonts w:ascii="Times New Roman" w:hAnsi="Times New Roman" w:cs="Times New Roman"/>
          <w:sz w:val="24"/>
          <w:szCs w:val="24"/>
          <w:lang w:val="tr-TR"/>
        </w:rPr>
        <w:t>baş örtüsü</w:t>
      </w:r>
      <w:proofErr w:type="gramEnd"/>
      <w:r w:rsidRPr="008A4050">
        <w:rPr>
          <w:rFonts w:ascii="Times New Roman" w:hAnsi="Times New Roman" w:cs="Times New Roman"/>
          <w:sz w:val="24"/>
          <w:szCs w:val="24"/>
          <w:lang w:val="tr-TR"/>
        </w:rPr>
        <w:t xml:space="preserve"> takmasına izin verilmesine ilişkin öğretmenlerin ve toplumun genelinin görüşleri incelendiğinde iki değişkende de katılanların ve katılmayanların oranının hemen </w:t>
      </w:r>
      <w:proofErr w:type="spellStart"/>
      <w:r w:rsidRPr="008A4050">
        <w:rPr>
          <w:rFonts w:ascii="Times New Roman" w:hAnsi="Times New Roman" w:cs="Times New Roman"/>
          <w:sz w:val="24"/>
          <w:szCs w:val="24"/>
          <w:lang w:val="tr-TR"/>
        </w:rPr>
        <w:t>hemen</w:t>
      </w:r>
      <w:proofErr w:type="spellEnd"/>
      <w:r w:rsidRPr="008A4050">
        <w:rPr>
          <w:rFonts w:ascii="Times New Roman" w:hAnsi="Times New Roman" w:cs="Times New Roman"/>
          <w:sz w:val="24"/>
          <w:szCs w:val="24"/>
          <w:lang w:val="tr-TR"/>
        </w:rPr>
        <w:t xml:space="preserve"> eşit olduğu görülmektedir (Katılan Öğretmenler: %50,1; Katılan Genel Toplum: %48,3).</w:t>
      </w:r>
    </w:p>
    <w:p w:rsidR="008A4050" w:rsidRP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p>
    <w:p w:rsidR="00FE4B3D" w:rsidRDefault="00FE4B3D" w:rsidP="008A4050">
      <w:pPr>
        <w:spacing w:line="240" w:lineRule="auto"/>
        <w:jc w:val="both"/>
        <w:rPr>
          <w:rFonts w:ascii="Times New Roman" w:hAnsi="Times New Roman" w:cs="Times New Roman"/>
          <w:sz w:val="24"/>
          <w:szCs w:val="24"/>
          <w:lang w:val="tr-TR"/>
        </w:rPr>
      </w:pPr>
    </w:p>
    <w:p w:rsidR="00FE4B3D" w:rsidRPr="008A4050" w:rsidRDefault="00FE4B3D"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numPr>
          <w:ilvl w:val="1"/>
          <w:numId w:val="2"/>
        </w:numPr>
        <w:spacing w:after="0"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Öğretmenlerin Müslümanlar Konusundaki Düşünceleri </w:t>
      </w: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noProof/>
          <w:sz w:val="24"/>
          <w:szCs w:val="24"/>
        </w:rPr>
        <w:drawing>
          <wp:inline distT="0" distB="0" distL="0" distR="0">
            <wp:extent cx="5750560" cy="3366770"/>
            <wp:effectExtent l="0" t="0" r="0" b="0"/>
            <wp:docPr id="3" name="Obj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Müslümanlar konusundaki görüşlere ilişkin yapılan araştırma sonuçları, öğretmenlerin çoğunun Müslümanlara karşı negatif tutum içerisinde olmadıklarını göstermektedir. Ankete katılanların az bir oranı “Müslümanların sosyal sisteme yük getiriyor” (%10,4) ve “Müslümanlar daha </w:t>
      </w:r>
      <w:proofErr w:type="gramStart"/>
      <w:r w:rsidRPr="008A4050">
        <w:rPr>
          <w:rFonts w:ascii="Times New Roman" w:hAnsi="Times New Roman" w:cs="Times New Roman"/>
          <w:sz w:val="24"/>
          <w:szCs w:val="24"/>
          <w:lang w:val="tr-TR"/>
        </w:rPr>
        <w:t>agresiftir</w:t>
      </w:r>
      <w:proofErr w:type="gramEnd"/>
      <w:r w:rsidRPr="008A4050">
        <w:rPr>
          <w:rFonts w:ascii="Times New Roman" w:hAnsi="Times New Roman" w:cs="Times New Roman"/>
          <w:sz w:val="24"/>
          <w:szCs w:val="24"/>
          <w:lang w:val="tr-TR"/>
        </w:rPr>
        <w:t xml:space="preserve">” (%17,3)  görüşündedir. Ankete katılanların üçte ikisi “İslam kültürü Almanya’yı zenginleştiriyor” (%73,3) veya “Müslümanlar daha fazla tanınmalıdır” gibi olumlu görüşlere katılmaktadır. Müslümanların da eğitim odaklı olduğunu düşünen öğretmenlerin oranı ise %61,4’tür. Öğretmenlerin çoğu (%71,3) Müslümanların çok olduğu okula çocuk gönderebileceğini belirtmiştir. Sonuç olarak Müslümanlara karşı olan negatif tutumun öğretmenlerde az oranda görüldüğü ortaya çıkmıştır. Ayrıca Müslümanlara karşı olan negatif tutumun öğretmenlerde toplumun geneline oranla daha az olduğu görülmektedir. </w:t>
      </w:r>
    </w:p>
    <w:p w:rsidR="008A4050" w:rsidRP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1.4.  Öğretmenlerin Müslümanlar Hakkındaki Bilgilerine İlişkin Öz Değerlendirmeleri  </w:t>
      </w:r>
    </w:p>
    <w:p w:rsidR="00FE4B3D"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lastRenderedPageBreak/>
        <w:t xml:space="preserve"> </w:t>
      </w:r>
      <w:r w:rsidRPr="008A4050">
        <w:rPr>
          <w:rFonts w:ascii="Times New Roman" w:hAnsi="Times New Roman" w:cs="Times New Roman"/>
          <w:noProof/>
          <w:sz w:val="24"/>
          <w:szCs w:val="24"/>
        </w:rPr>
        <w:drawing>
          <wp:inline distT="0" distB="0" distL="0" distR="0">
            <wp:extent cx="5795054" cy="3308754"/>
            <wp:effectExtent l="19050" t="0" r="15196" b="5946"/>
            <wp:docPr id="4"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4B3D" w:rsidRDefault="00FE4B3D"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Ankete katılan öğretmenlerin %53,8’i, Müslümanlara ilişkin “çok” veya “çok fazla” bilgi sahibi olduğunu belirmektedir. Buna karşın nüfusun tamamında bu oran sadece %31,2’dir. Doğu-Batı karşılaştırması da açık bir farklılığa işaret etmektedir. Almanya’nın Batı Eyaletlerindeki öğretmenlerin %61,5’i, Almanya’daki Müslümanlar hakkında oldukça bilgiye sahip olduğunu belirtirken, Almanya’nın Doğu Eyaletlerindeki öğretmenlerin sadece %23,7’si Almanya’daki Müslümanlar hakkında oldukça az bilgiye sahip olduğunu düşünmektedir.</w:t>
      </w:r>
    </w:p>
    <w:p w:rsidR="008A4050" w:rsidRP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2. Proje 2</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Proje 2’de öğretmenlerin, öğrencilerin gelecekteki başarısı hakkındaki beklentileri araştırılmıştır. Bu tür başarı beklentilerinin, öğretmenlerin dersteki davranışlarını ne ölçüde etkilediği ve böylece etnik eşitsizliklerin ortaya çıkıp çıkmadığı incelenmiştir. Bu araştırmada başlıca şu araştırma soruları üzerinde durulmuştur: </w:t>
      </w:r>
    </w:p>
    <w:p w:rsidR="008A4050" w:rsidRPr="008A4050" w:rsidRDefault="008A4050" w:rsidP="008A4050">
      <w:pPr>
        <w:numPr>
          <w:ilvl w:val="0"/>
          <w:numId w:val="3"/>
        </w:numPr>
        <w:spacing w:after="0" w:line="240" w:lineRule="auto"/>
        <w:ind w:left="714" w:hanging="357"/>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Öğretmenler var olan yetilere bakmaksızın göçmen çocuklardan daha az başarı bekliyorlar mı yoksa beklemiyorlar mı?</w:t>
      </w:r>
    </w:p>
    <w:p w:rsidR="008A4050" w:rsidRPr="008A4050" w:rsidRDefault="008A4050" w:rsidP="008A4050">
      <w:pPr>
        <w:numPr>
          <w:ilvl w:val="0"/>
          <w:numId w:val="3"/>
        </w:numPr>
        <w:spacing w:after="0" w:line="240" w:lineRule="auto"/>
        <w:ind w:left="714" w:hanging="357"/>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Öğretmenlerin başarı beklentisiyle davranışları arasında ilişki var mıdır? </w:t>
      </w:r>
    </w:p>
    <w:p w:rsidR="008A4050" w:rsidRPr="008A4050" w:rsidRDefault="008A4050" w:rsidP="008A4050">
      <w:pPr>
        <w:numPr>
          <w:ilvl w:val="0"/>
          <w:numId w:val="3"/>
        </w:numPr>
        <w:spacing w:after="0" w:line="240" w:lineRule="auto"/>
        <w:ind w:left="714" w:hanging="357"/>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Öğretmen davranışı çocukların etnik kökenine göre farklılık göstermekte midir?</w:t>
      </w:r>
    </w:p>
    <w:p w:rsidR="008A4050" w:rsidRPr="008A4050" w:rsidRDefault="008A4050" w:rsidP="008A4050">
      <w:pPr>
        <w:numPr>
          <w:ilvl w:val="0"/>
          <w:numId w:val="3"/>
        </w:numPr>
        <w:spacing w:after="0" w:line="240" w:lineRule="auto"/>
        <w:ind w:left="714" w:hanging="357"/>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Öğretmenlerin yüksek başarı beklentisi zaman içerisinde daha yüksek başarıya sebep olmakta mıdır? </w:t>
      </w:r>
      <w:proofErr w:type="gramStart"/>
      <w:r w:rsidRPr="008A4050">
        <w:rPr>
          <w:rFonts w:ascii="Times New Roman" w:hAnsi="Times New Roman" w:cs="Times New Roman"/>
          <w:sz w:val="24"/>
          <w:szCs w:val="24"/>
          <w:lang w:val="tr-TR"/>
        </w:rPr>
        <w:t>Ve  öğretmenlerin</w:t>
      </w:r>
      <w:proofErr w:type="gramEnd"/>
      <w:r w:rsidRPr="008A4050">
        <w:rPr>
          <w:rFonts w:ascii="Times New Roman" w:hAnsi="Times New Roman" w:cs="Times New Roman"/>
          <w:sz w:val="24"/>
          <w:szCs w:val="24"/>
          <w:lang w:val="tr-TR"/>
        </w:rPr>
        <w:t xml:space="preserve"> düşük başarı beklentisi ilerlemeyi engellemekte midir?</w:t>
      </w:r>
    </w:p>
    <w:p w:rsidR="008A4050" w:rsidRPr="008A4050" w:rsidRDefault="008A4050" w:rsidP="008A4050">
      <w:pPr>
        <w:spacing w:line="240" w:lineRule="auto"/>
        <w:jc w:val="both"/>
        <w:rPr>
          <w:rFonts w:ascii="Times New Roman" w:hAnsi="Times New Roman" w:cs="Times New Roman"/>
          <w:b/>
          <w:sz w:val="24"/>
          <w:szCs w:val="24"/>
          <w:lang w:val="tr-TR"/>
        </w:rPr>
      </w:pPr>
    </w:p>
    <w:p w:rsid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2013-2014 eğitim öğretim yılında yapılan araştırmada başarı testleri, görüşmeler ve ders izlemeleri yapılmıştır. Araştırmanın örneklemini ise 1065 1. sınıf öğrencisi ve öğretmenleri oluşturmaktadır. Veri toplama süresi 1. sınıfın başından sonuna kadar sürmüştür.</w:t>
      </w:r>
    </w:p>
    <w:p w:rsidR="00FE4B3D" w:rsidRPr="008A4050" w:rsidRDefault="00FE4B3D"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lastRenderedPageBreak/>
        <w:t>2.1. Öğretmenlerin Göçmen Çocuklardan Başarı Beklentisine İlişkin Sonuçlar</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Öğretmenler, Türk uyruklu öğrencilerin göçmen olmayan öğrencilere oranla Almanca dersinden 1. sınıf boyunca daha düşük başarı elde edeceğini beklemektedirler.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Yapılan araştırmada öncelikle öğretmenlerin çocukların matematik ve okuma sorularını çözmedeki başarı beklentileri analiz edilmiştir.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Aşağıda belirtilen tablolarda öğretmenlerin çocukların soruları çözmedeki başarı beklentilerine ilişkin regresyon analizi yer almaktadır. Model 1’de incelenen üç etnik gruba ait farklılıklar görünmektedir.   </w:t>
      </w:r>
    </w:p>
    <w:p w:rsidR="008A4050" w:rsidRPr="008A4050" w:rsidRDefault="008A4050" w:rsidP="008A4050">
      <w:pPr>
        <w:spacing w:line="240" w:lineRule="auto"/>
        <w:ind w:firstLine="708"/>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   Öğretmenlerin Çocukların Matematik ve Okuma Sorularını Çözmedeki Başarı </w:t>
      </w:r>
    </w:p>
    <w:p w:rsidR="008A4050" w:rsidRPr="008A4050" w:rsidRDefault="008A4050" w:rsidP="008A4050">
      <w:pPr>
        <w:spacing w:line="240" w:lineRule="auto"/>
        <w:ind w:left="708"/>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     Beklentilerindeki Farklılıklar, Çocukların Etnik Kökenine Göre</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noProof/>
          <w:sz w:val="24"/>
          <w:szCs w:val="24"/>
        </w:rPr>
        <w:drawing>
          <wp:inline distT="0" distB="0" distL="0" distR="0">
            <wp:extent cx="4524375" cy="2040255"/>
            <wp:effectExtent l="0" t="0" r="0" b="0"/>
            <wp:docPr id="5" name="Obj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Model 1: Çocukların Etnik Kökenine Göre Öğretmen Beklentilerindeki Farklılıklar</w:t>
      </w:r>
    </w:p>
    <w:p w:rsidR="008A4050" w:rsidRPr="008A4050" w:rsidRDefault="008A4050" w:rsidP="008A4050">
      <w:pPr>
        <w:spacing w:line="240" w:lineRule="auto"/>
        <w:ind w:firstLine="708"/>
        <w:jc w:val="both"/>
        <w:rPr>
          <w:rFonts w:ascii="Times New Roman" w:hAnsi="Times New Roman" w:cs="Times New Roman"/>
          <w:b/>
          <w:sz w:val="24"/>
          <w:szCs w:val="24"/>
          <w:lang w:val="tr-TR"/>
        </w:rPr>
      </w:pPr>
    </w:p>
    <w:p w:rsidR="008A4050" w:rsidRPr="008A4050" w:rsidRDefault="008A4050" w:rsidP="008A4050">
      <w:pPr>
        <w:spacing w:line="240" w:lineRule="auto"/>
        <w:ind w:firstLine="708"/>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Öğretmenlerin Çocukların Matematik ve Okuma Sorularını Çözmedeki Başarı </w:t>
      </w:r>
    </w:p>
    <w:p w:rsidR="008A4050" w:rsidRPr="008A4050" w:rsidRDefault="008A4050" w:rsidP="008A4050">
      <w:pPr>
        <w:spacing w:line="240" w:lineRule="auto"/>
        <w:ind w:left="708"/>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          Beklentilerindeki Farklılıklar, Çocukların Etnik Kökenine Göre</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noProof/>
          <w:sz w:val="24"/>
          <w:szCs w:val="24"/>
        </w:rPr>
        <w:drawing>
          <wp:inline distT="0" distB="0" distL="0" distR="0">
            <wp:extent cx="4466590" cy="1950085"/>
            <wp:effectExtent l="0" t="0" r="0" b="0"/>
            <wp:docPr id="6" name="Obj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Model 2: Çocukların Başarıları Doğrultusunda Çocukların Etnik Kökenine Göre Öğretmen Beklentilerindeki Farklılıklar</w:t>
      </w:r>
    </w:p>
    <w:p w:rsidR="008A4050" w:rsidRP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lastRenderedPageBreak/>
        <w:t xml:space="preserve">Regresyon analizine göre öğretmenler, Türk kökenli çocukların soruları doğru çözme olasılığını tüm çocuklara ve göçmen kökenli olmayan çocuklara göre daha düşük görmektedirler. Doğu Avrupa kökenli çocuklarla göçmen kökenli olmayan çocuklar arasında fark tespit edilmemiştir.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Model 2’de çocukların soruları doğru çözüp çözmediği </w:t>
      </w:r>
      <w:proofErr w:type="spellStart"/>
      <w:r w:rsidRPr="008A4050">
        <w:rPr>
          <w:rFonts w:ascii="Times New Roman" w:hAnsi="Times New Roman" w:cs="Times New Roman"/>
          <w:sz w:val="24"/>
          <w:szCs w:val="24"/>
          <w:lang w:val="tr-TR"/>
        </w:rPr>
        <w:t>istatiksel</w:t>
      </w:r>
      <w:proofErr w:type="spellEnd"/>
      <w:r w:rsidRPr="008A4050">
        <w:rPr>
          <w:rFonts w:ascii="Times New Roman" w:hAnsi="Times New Roman" w:cs="Times New Roman"/>
          <w:sz w:val="24"/>
          <w:szCs w:val="24"/>
          <w:lang w:val="tr-TR"/>
        </w:rPr>
        <w:t xml:space="preserve"> olarak incelenmiştir. Buna göre çocukların soruları çözme başarıları farklılık göstermemesine rağmen, öğretmenlerin Türk kökenli çocukların soruları doğru çözmelerini beklemedikleri görülmektedir.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Aşağıdaki tabloda öğretmenlerin çocukların ileride </w:t>
      </w:r>
      <w:proofErr w:type="spellStart"/>
      <w:r w:rsidRPr="008A4050">
        <w:rPr>
          <w:rFonts w:ascii="Times New Roman" w:hAnsi="Times New Roman" w:cs="Times New Roman"/>
          <w:sz w:val="24"/>
          <w:szCs w:val="24"/>
          <w:lang w:val="tr-TR"/>
        </w:rPr>
        <w:t>Gymnasium’a</w:t>
      </w:r>
      <w:proofErr w:type="spellEnd"/>
      <w:r w:rsidRPr="008A4050">
        <w:rPr>
          <w:rFonts w:ascii="Times New Roman" w:hAnsi="Times New Roman" w:cs="Times New Roman"/>
          <w:sz w:val="24"/>
          <w:szCs w:val="24"/>
          <w:lang w:val="tr-TR"/>
        </w:rPr>
        <w:t xml:space="preserve"> gitme olasılığını ne ölçüde gördüğüne ilişkin analiz sonuçları yer almaktadır. Buna göre öğretmenlerin Türk kökenli çocuklardan beklentisi ile göçmen kökenli olmayan öğrencilerden olan beklentisi arasında anlamlı fark vardır. Öğretmenler birinci grubun </w:t>
      </w:r>
      <w:proofErr w:type="spellStart"/>
      <w:r w:rsidRPr="008A4050">
        <w:rPr>
          <w:rFonts w:ascii="Times New Roman" w:hAnsi="Times New Roman" w:cs="Times New Roman"/>
          <w:sz w:val="24"/>
          <w:szCs w:val="24"/>
          <w:lang w:val="tr-TR"/>
        </w:rPr>
        <w:t>Gymnasium’a</w:t>
      </w:r>
      <w:proofErr w:type="spellEnd"/>
      <w:r w:rsidRPr="008A4050">
        <w:rPr>
          <w:rFonts w:ascii="Times New Roman" w:hAnsi="Times New Roman" w:cs="Times New Roman"/>
          <w:sz w:val="24"/>
          <w:szCs w:val="24"/>
          <w:lang w:val="tr-TR"/>
        </w:rPr>
        <w:t xml:space="preserve"> gitme olasılığını ikinci gruptan daha düşük görmektedir (Model 1). Model 2’de öğretmenlerin çocukların başarısını doğru algıladıkları görülmektedir. Çünkü model 2’deki etnik köken etkisi model 1’e göre düşüş göstermektedir. Öğrencilerin başarısı incelendiğinde de öğretmenlerin, Türk çocukların </w:t>
      </w:r>
      <w:proofErr w:type="spellStart"/>
      <w:r w:rsidRPr="008A4050">
        <w:rPr>
          <w:rFonts w:ascii="Times New Roman" w:hAnsi="Times New Roman" w:cs="Times New Roman"/>
          <w:sz w:val="24"/>
          <w:szCs w:val="24"/>
          <w:lang w:val="tr-TR"/>
        </w:rPr>
        <w:t>Gymnasium’a</w:t>
      </w:r>
      <w:proofErr w:type="spellEnd"/>
      <w:r w:rsidRPr="008A4050">
        <w:rPr>
          <w:rFonts w:ascii="Times New Roman" w:hAnsi="Times New Roman" w:cs="Times New Roman"/>
          <w:sz w:val="24"/>
          <w:szCs w:val="24"/>
          <w:lang w:val="tr-TR"/>
        </w:rPr>
        <w:t xml:space="preserve"> gitme olasılığını göçmen kökenli olmayan çocuklara göre daha düşük gördükleri saptanmıştır. </w:t>
      </w:r>
    </w:p>
    <w:p w:rsid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Çocukların Etnik Kökenine Göre Öğretmenlerin Çocuklardan </w:t>
      </w:r>
      <w:proofErr w:type="spellStart"/>
      <w:r w:rsidRPr="008A4050">
        <w:rPr>
          <w:rFonts w:ascii="Times New Roman" w:hAnsi="Times New Roman" w:cs="Times New Roman"/>
          <w:b/>
          <w:sz w:val="24"/>
          <w:szCs w:val="24"/>
          <w:lang w:val="tr-TR"/>
        </w:rPr>
        <w:t>Gymnasium’a</w:t>
      </w:r>
      <w:proofErr w:type="spellEnd"/>
      <w:r w:rsidRPr="008A4050">
        <w:rPr>
          <w:rFonts w:ascii="Times New Roman" w:hAnsi="Times New Roman" w:cs="Times New Roman"/>
          <w:b/>
          <w:sz w:val="24"/>
          <w:szCs w:val="24"/>
          <w:lang w:val="tr-TR"/>
        </w:rPr>
        <w:t xml:space="preserve"> Gitme Beklentisine İlişkin Farklılıklar</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noProof/>
          <w:sz w:val="24"/>
          <w:szCs w:val="24"/>
        </w:rPr>
        <w:drawing>
          <wp:inline distT="0" distB="0" distL="0" distR="0">
            <wp:extent cx="5422900" cy="2299335"/>
            <wp:effectExtent l="0" t="0" r="0" b="0"/>
            <wp:docPr id="7" name="Obj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Model 1: Çocukların Etnik Kökenine Göre Öğretmen Beklentilerindeki Farklılıklar</w:t>
      </w:r>
    </w:p>
    <w:p w:rsidR="008A4050" w:rsidRDefault="008A4050" w:rsidP="008A4050">
      <w:pPr>
        <w:spacing w:line="240" w:lineRule="auto"/>
        <w:jc w:val="both"/>
        <w:rPr>
          <w:rFonts w:ascii="Times New Roman" w:hAnsi="Times New Roman" w:cs="Times New Roman"/>
          <w:b/>
          <w:sz w:val="24"/>
          <w:szCs w:val="24"/>
          <w:lang w:val="tr-TR"/>
        </w:rPr>
      </w:pPr>
    </w:p>
    <w:p w:rsidR="00FE4B3D" w:rsidRDefault="00FE4B3D" w:rsidP="008A4050">
      <w:pPr>
        <w:spacing w:line="240" w:lineRule="auto"/>
        <w:jc w:val="both"/>
        <w:rPr>
          <w:rFonts w:ascii="Times New Roman" w:hAnsi="Times New Roman" w:cs="Times New Roman"/>
          <w:b/>
          <w:sz w:val="24"/>
          <w:szCs w:val="24"/>
          <w:lang w:val="tr-TR"/>
        </w:rPr>
      </w:pPr>
    </w:p>
    <w:p w:rsidR="00FE4B3D" w:rsidRDefault="00FE4B3D" w:rsidP="008A4050">
      <w:pPr>
        <w:spacing w:line="240" w:lineRule="auto"/>
        <w:jc w:val="both"/>
        <w:rPr>
          <w:rFonts w:ascii="Times New Roman" w:hAnsi="Times New Roman" w:cs="Times New Roman"/>
          <w:b/>
          <w:sz w:val="24"/>
          <w:szCs w:val="24"/>
          <w:lang w:val="tr-TR"/>
        </w:rPr>
      </w:pPr>
    </w:p>
    <w:p w:rsidR="00FE4B3D" w:rsidRDefault="00FE4B3D" w:rsidP="008A4050">
      <w:pPr>
        <w:spacing w:line="240" w:lineRule="auto"/>
        <w:jc w:val="both"/>
        <w:rPr>
          <w:rFonts w:ascii="Times New Roman" w:hAnsi="Times New Roman" w:cs="Times New Roman"/>
          <w:b/>
          <w:sz w:val="24"/>
          <w:szCs w:val="24"/>
          <w:lang w:val="tr-TR"/>
        </w:rPr>
      </w:pPr>
    </w:p>
    <w:p w:rsidR="00FE4B3D" w:rsidRDefault="00FE4B3D" w:rsidP="008A4050">
      <w:pPr>
        <w:spacing w:line="240" w:lineRule="auto"/>
        <w:jc w:val="both"/>
        <w:rPr>
          <w:rFonts w:ascii="Times New Roman" w:hAnsi="Times New Roman" w:cs="Times New Roman"/>
          <w:b/>
          <w:sz w:val="24"/>
          <w:szCs w:val="24"/>
          <w:lang w:val="tr-TR"/>
        </w:rPr>
      </w:pPr>
    </w:p>
    <w:p w:rsidR="00FE4B3D" w:rsidRDefault="00FE4B3D" w:rsidP="008A4050">
      <w:pPr>
        <w:spacing w:line="240" w:lineRule="auto"/>
        <w:jc w:val="both"/>
        <w:rPr>
          <w:rFonts w:ascii="Times New Roman" w:hAnsi="Times New Roman" w:cs="Times New Roman"/>
          <w:b/>
          <w:sz w:val="24"/>
          <w:szCs w:val="24"/>
          <w:lang w:val="tr-TR"/>
        </w:rPr>
      </w:pPr>
    </w:p>
    <w:p w:rsidR="00FE4B3D" w:rsidRPr="008A4050" w:rsidRDefault="00FE4B3D" w:rsidP="008A4050">
      <w:pPr>
        <w:spacing w:line="240" w:lineRule="auto"/>
        <w:jc w:val="both"/>
        <w:rPr>
          <w:rFonts w:ascii="Times New Roman" w:hAnsi="Times New Roman" w:cs="Times New Roman"/>
          <w:b/>
          <w:sz w:val="24"/>
          <w:szCs w:val="24"/>
          <w:lang w:val="tr-TR"/>
        </w:rPr>
      </w:pP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lastRenderedPageBreak/>
        <w:t xml:space="preserve">Çocukların Etnik Kökenine Göre Öğretmenlerin Çocuklardan </w:t>
      </w:r>
      <w:proofErr w:type="spellStart"/>
      <w:r w:rsidRPr="008A4050">
        <w:rPr>
          <w:rFonts w:ascii="Times New Roman" w:hAnsi="Times New Roman" w:cs="Times New Roman"/>
          <w:b/>
          <w:sz w:val="24"/>
          <w:szCs w:val="24"/>
          <w:lang w:val="tr-TR"/>
        </w:rPr>
        <w:t>Gymnasium’a</w:t>
      </w:r>
      <w:proofErr w:type="spellEnd"/>
      <w:r w:rsidRPr="008A4050">
        <w:rPr>
          <w:rFonts w:ascii="Times New Roman" w:hAnsi="Times New Roman" w:cs="Times New Roman"/>
          <w:b/>
          <w:sz w:val="24"/>
          <w:szCs w:val="24"/>
          <w:lang w:val="tr-TR"/>
        </w:rPr>
        <w:t xml:space="preserve"> Gitme Beklentisine İlişkin Farklılıklar</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noProof/>
          <w:sz w:val="24"/>
          <w:szCs w:val="24"/>
        </w:rPr>
        <w:drawing>
          <wp:inline distT="0" distB="0" distL="0" distR="0">
            <wp:extent cx="5449570" cy="2145665"/>
            <wp:effectExtent l="0" t="0" r="0" b="0"/>
            <wp:docPr id="8"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Model 2: Çocukların Başarıları Doğrultusunda Çocukların Etnik Kökenine Göre Öğretmen Beklentilerindeki Farklılıklar</w:t>
      </w:r>
    </w:p>
    <w:p w:rsidR="008A4050" w:rsidRP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Sonuç olarak öğretmenlerin öğrencilerinin 1. sınıftaki başarısını büyük ölçüde doğru tahmin etmelerine rağmen, yapmış oldukları tahminlerin kısmen çocukların gerçek başarısı ile örtüşmediği anlaşılmaktadır: Türk kökenli öğrenciler tarafından aynı başarıya ulaşmalarına rağmen göçmen olmayan çocuklara göre daha </w:t>
      </w:r>
      <w:proofErr w:type="gramStart"/>
      <w:r w:rsidRPr="008A4050">
        <w:rPr>
          <w:rFonts w:ascii="Times New Roman" w:hAnsi="Times New Roman" w:cs="Times New Roman"/>
          <w:sz w:val="24"/>
          <w:szCs w:val="24"/>
          <w:lang w:val="tr-TR"/>
        </w:rPr>
        <w:t>düşük  başarı</w:t>
      </w:r>
      <w:proofErr w:type="gramEnd"/>
      <w:r w:rsidRPr="008A4050">
        <w:rPr>
          <w:rFonts w:ascii="Times New Roman" w:hAnsi="Times New Roman" w:cs="Times New Roman"/>
          <w:sz w:val="24"/>
          <w:szCs w:val="24"/>
          <w:lang w:val="tr-TR"/>
        </w:rPr>
        <w:t xml:space="preserve"> beklenmektedir. </w:t>
      </w:r>
    </w:p>
    <w:p w:rsidR="008A4050" w:rsidRP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2.2. Öğretmenin Beklentisi ile Öğrencilerine Olan Davranışları Arasındaki İlişki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Bu aşmada öğretmen beklentisinin öğretmenin öğrencilerine olan davranışları arasındaki ilişkisi incelenmiştir. Bunun için ders videoları değerlendirilmiştir. Bu yapılırken öğretmen öğrenci etkileşim süresi dikkate alınmıştır.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Aşağıdaki tabloda gösterilen regresyon analizindeki etkileşim süresine (mavi çizgi) bakıldığında bir öğretmenin bir öğrencinin </w:t>
      </w:r>
      <w:proofErr w:type="spellStart"/>
      <w:r w:rsidRPr="008A4050">
        <w:rPr>
          <w:rFonts w:ascii="Times New Roman" w:hAnsi="Times New Roman" w:cs="Times New Roman"/>
          <w:sz w:val="24"/>
          <w:szCs w:val="24"/>
          <w:lang w:val="tr-TR"/>
        </w:rPr>
        <w:t>Gymnasium’a</w:t>
      </w:r>
      <w:proofErr w:type="spellEnd"/>
      <w:r w:rsidRPr="008A4050">
        <w:rPr>
          <w:rFonts w:ascii="Times New Roman" w:hAnsi="Times New Roman" w:cs="Times New Roman"/>
          <w:sz w:val="24"/>
          <w:szCs w:val="24"/>
          <w:lang w:val="tr-TR"/>
        </w:rPr>
        <w:t xml:space="preserve"> gitme olasılığını yüksek gördükçe, kendisiyle olan etkileşim süresinin de o kadar uzadığı görülmektedir.        </w:t>
      </w:r>
    </w:p>
    <w:p w:rsidR="008A4050" w:rsidRDefault="008A4050" w:rsidP="008A4050">
      <w:pPr>
        <w:spacing w:line="240" w:lineRule="auto"/>
        <w:jc w:val="both"/>
        <w:rPr>
          <w:rFonts w:ascii="Times New Roman" w:hAnsi="Times New Roman" w:cs="Times New Roman"/>
          <w:sz w:val="24"/>
          <w:szCs w:val="24"/>
          <w:lang w:val="tr-TR"/>
        </w:rPr>
      </w:pPr>
    </w:p>
    <w:p w:rsidR="00FE4B3D" w:rsidRDefault="00FE4B3D" w:rsidP="008A4050">
      <w:pPr>
        <w:spacing w:line="240" w:lineRule="auto"/>
        <w:jc w:val="both"/>
        <w:rPr>
          <w:rFonts w:ascii="Times New Roman" w:hAnsi="Times New Roman" w:cs="Times New Roman"/>
          <w:sz w:val="24"/>
          <w:szCs w:val="24"/>
          <w:lang w:val="tr-TR"/>
        </w:rPr>
      </w:pPr>
    </w:p>
    <w:p w:rsidR="00FE4B3D" w:rsidRDefault="00FE4B3D" w:rsidP="008A4050">
      <w:pPr>
        <w:spacing w:line="240" w:lineRule="auto"/>
        <w:jc w:val="both"/>
        <w:rPr>
          <w:rFonts w:ascii="Times New Roman" w:hAnsi="Times New Roman" w:cs="Times New Roman"/>
          <w:sz w:val="24"/>
          <w:szCs w:val="24"/>
          <w:lang w:val="tr-TR"/>
        </w:rPr>
      </w:pPr>
    </w:p>
    <w:p w:rsidR="00FE4B3D" w:rsidRDefault="00FE4B3D" w:rsidP="008A4050">
      <w:pPr>
        <w:spacing w:line="240" w:lineRule="auto"/>
        <w:jc w:val="both"/>
        <w:rPr>
          <w:rFonts w:ascii="Times New Roman" w:hAnsi="Times New Roman" w:cs="Times New Roman"/>
          <w:sz w:val="24"/>
          <w:szCs w:val="24"/>
          <w:lang w:val="tr-TR"/>
        </w:rPr>
      </w:pPr>
    </w:p>
    <w:p w:rsidR="00FE4B3D" w:rsidRDefault="00FE4B3D" w:rsidP="008A4050">
      <w:pPr>
        <w:spacing w:line="240" w:lineRule="auto"/>
        <w:jc w:val="both"/>
        <w:rPr>
          <w:rFonts w:ascii="Times New Roman" w:hAnsi="Times New Roman" w:cs="Times New Roman"/>
          <w:sz w:val="24"/>
          <w:szCs w:val="24"/>
          <w:lang w:val="tr-TR"/>
        </w:rPr>
      </w:pPr>
    </w:p>
    <w:p w:rsidR="00FE4B3D" w:rsidRDefault="00FE4B3D" w:rsidP="008A4050">
      <w:pPr>
        <w:spacing w:line="240" w:lineRule="auto"/>
        <w:jc w:val="both"/>
        <w:rPr>
          <w:rFonts w:ascii="Times New Roman" w:hAnsi="Times New Roman" w:cs="Times New Roman"/>
          <w:sz w:val="24"/>
          <w:szCs w:val="24"/>
          <w:lang w:val="tr-TR"/>
        </w:rPr>
      </w:pPr>
    </w:p>
    <w:p w:rsidR="00FE4B3D" w:rsidRDefault="00FE4B3D" w:rsidP="008A4050">
      <w:pPr>
        <w:spacing w:line="240" w:lineRule="auto"/>
        <w:jc w:val="both"/>
        <w:rPr>
          <w:rFonts w:ascii="Times New Roman" w:hAnsi="Times New Roman" w:cs="Times New Roman"/>
          <w:sz w:val="24"/>
          <w:szCs w:val="24"/>
          <w:lang w:val="tr-TR"/>
        </w:rPr>
      </w:pPr>
    </w:p>
    <w:p w:rsidR="00FE4B3D" w:rsidRDefault="00FE4B3D" w:rsidP="008A4050">
      <w:pPr>
        <w:spacing w:line="240" w:lineRule="auto"/>
        <w:jc w:val="both"/>
        <w:rPr>
          <w:rFonts w:ascii="Times New Roman" w:hAnsi="Times New Roman" w:cs="Times New Roman"/>
          <w:sz w:val="24"/>
          <w:szCs w:val="24"/>
          <w:lang w:val="tr-TR"/>
        </w:rPr>
      </w:pPr>
    </w:p>
    <w:p w:rsidR="00FE4B3D" w:rsidRDefault="00FE4B3D" w:rsidP="008A4050">
      <w:pPr>
        <w:spacing w:line="240" w:lineRule="auto"/>
        <w:jc w:val="both"/>
        <w:rPr>
          <w:rFonts w:ascii="Times New Roman" w:hAnsi="Times New Roman" w:cs="Times New Roman"/>
          <w:sz w:val="24"/>
          <w:szCs w:val="24"/>
          <w:lang w:val="tr-TR"/>
        </w:rPr>
      </w:pPr>
    </w:p>
    <w:p w:rsidR="00FE4B3D" w:rsidRPr="008A4050" w:rsidRDefault="00FE4B3D"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ind w:left="200"/>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Öğrencinin </w:t>
      </w:r>
      <w:proofErr w:type="spellStart"/>
      <w:r w:rsidRPr="008A4050">
        <w:rPr>
          <w:rFonts w:ascii="Times New Roman" w:hAnsi="Times New Roman" w:cs="Times New Roman"/>
          <w:b/>
          <w:sz w:val="24"/>
          <w:szCs w:val="24"/>
          <w:lang w:val="tr-TR"/>
        </w:rPr>
        <w:t>Gymnasium’a</w:t>
      </w:r>
      <w:proofErr w:type="spellEnd"/>
      <w:r w:rsidRPr="008A4050">
        <w:rPr>
          <w:rFonts w:ascii="Times New Roman" w:hAnsi="Times New Roman" w:cs="Times New Roman"/>
          <w:b/>
          <w:sz w:val="24"/>
          <w:szCs w:val="24"/>
          <w:lang w:val="tr-TR"/>
        </w:rPr>
        <w:t xml:space="preserve"> Gitme Beklentisi ile Öğretmenin Beklentisi ile Öğretmen-Çocuk </w:t>
      </w:r>
      <w:proofErr w:type="gramStart"/>
      <w:r w:rsidRPr="008A4050">
        <w:rPr>
          <w:rFonts w:ascii="Times New Roman" w:hAnsi="Times New Roman" w:cs="Times New Roman"/>
          <w:b/>
          <w:sz w:val="24"/>
          <w:szCs w:val="24"/>
          <w:lang w:val="tr-TR"/>
        </w:rPr>
        <w:t>Etkileşimi     Arasındaki</w:t>
      </w:r>
      <w:proofErr w:type="gramEnd"/>
      <w:r w:rsidRPr="008A4050">
        <w:rPr>
          <w:rFonts w:ascii="Times New Roman" w:hAnsi="Times New Roman" w:cs="Times New Roman"/>
          <w:b/>
          <w:sz w:val="24"/>
          <w:szCs w:val="24"/>
          <w:lang w:val="tr-TR"/>
        </w:rPr>
        <w:t xml:space="preserve"> İlişki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   </w:t>
      </w:r>
      <w:r w:rsidRPr="008A4050">
        <w:rPr>
          <w:rFonts w:ascii="Times New Roman" w:hAnsi="Times New Roman" w:cs="Times New Roman"/>
          <w:noProof/>
          <w:sz w:val="24"/>
          <w:szCs w:val="24"/>
        </w:rPr>
        <w:drawing>
          <wp:inline distT="0" distB="0" distL="0" distR="0">
            <wp:extent cx="5623560" cy="3726180"/>
            <wp:effectExtent l="0" t="0" r="0" b="0"/>
            <wp:docPr id="9"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Araştırmada öğretmenin çocukta </w:t>
      </w:r>
      <w:proofErr w:type="spellStart"/>
      <w:r w:rsidRPr="008A4050">
        <w:rPr>
          <w:rFonts w:ascii="Times New Roman" w:hAnsi="Times New Roman" w:cs="Times New Roman"/>
          <w:sz w:val="24"/>
          <w:szCs w:val="24"/>
          <w:lang w:val="tr-TR"/>
        </w:rPr>
        <w:t>Gymnasium’a</w:t>
      </w:r>
      <w:proofErr w:type="spellEnd"/>
      <w:r w:rsidRPr="008A4050">
        <w:rPr>
          <w:rFonts w:ascii="Times New Roman" w:hAnsi="Times New Roman" w:cs="Times New Roman"/>
          <w:sz w:val="24"/>
          <w:szCs w:val="24"/>
          <w:lang w:val="tr-TR"/>
        </w:rPr>
        <w:t xml:space="preserve"> gitme beklentisi ile öğretmenin çocuklara derste söz verme süresi arasında ilişki olup olmadığı incelenmiştir. Öğrenciler sınıfta söz almayla örneğin var olan bilgisini ifade etmeyi ve aktarmayı öğrenme olanağı bulmaktadır. Bu açıdan bu gösterge önem arz etmektedir.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Yapılan araştırmaya göre (</w:t>
      </w:r>
      <w:proofErr w:type="gramStart"/>
      <w:r w:rsidRPr="008A4050">
        <w:rPr>
          <w:rFonts w:ascii="Times New Roman" w:hAnsi="Times New Roman" w:cs="Times New Roman"/>
          <w:sz w:val="24"/>
          <w:szCs w:val="24"/>
          <w:lang w:val="tr-TR"/>
        </w:rPr>
        <w:t>kırmızı çizgi</w:t>
      </w:r>
      <w:proofErr w:type="gramEnd"/>
      <w:r w:rsidRPr="008A4050">
        <w:rPr>
          <w:rFonts w:ascii="Times New Roman" w:hAnsi="Times New Roman" w:cs="Times New Roman"/>
          <w:sz w:val="24"/>
          <w:szCs w:val="24"/>
          <w:lang w:val="tr-TR"/>
        </w:rPr>
        <w:t xml:space="preserve">) kayda alınan derslerde bir öğretmenin bir öğrencide </w:t>
      </w:r>
      <w:proofErr w:type="spellStart"/>
      <w:r w:rsidRPr="008A4050">
        <w:rPr>
          <w:rFonts w:ascii="Times New Roman" w:hAnsi="Times New Roman" w:cs="Times New Roman"/>
          <w:sz w:val="24"/>
          <w:szCs w:val="24"/>
          <w:lang w:val="tr-TR"/>
        </w:rPr>
        <w:t>Gymnasium’a</w:t>
      </w:r>
      <w:proofErr w:type="spellEnd"/>
      <w:r w:rsidRPr="008A4050">
        <w:rPr>
          <w:rFonts w:ascii="Times New Roman" w:hAnsi="Times New Roman" w:cs="Times New Roman"/>
          <w:sz w:val="24"/>
          <w:szCs w:val="24"/>
          <w:lang w:val="tr-TR"/>
        </w:rPr>
        <w:t xml:space="preserve"> gitme ihtimalini görme olasılığı arttıkça, o öğrenciye derste söz verme sıklığı da o kadar artmaktadır.  </w:t>
      </w:r>
    </w:p>
    <w:p w:rsidR="008A4050" w:rsidRP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2.3. Öğretmenlerin Etnik Kökenine Göre Çocuklara Davranışları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Yapılan araştırmada öğretmenlerin Türk kökenli öğrencilerle olan etkileşimlerinin göçmen kökenli olmayan öğrencilerle olan etkileşimlerine göre daha kısa olduğu ortaya çıkmıştır.   </w:t>
      </w:r>
    </w:p>
    <w:p w:rsidR="008A4050" w:rsidRDefault="008A4050" w:rsidP="008A4050">
      <w:pPr>
        <w:spacing w:line="240" w:lineRule="auto"/>
        <w:jc w:val="both"/>
        <w:rPr>
          <w:rFonts w:ascii="Times New Roman" w:hAnsi="Times New Roman" w:cs="Times New Roman"/>
          <w:b/>
          <w:sz w:val="24"/>
          <w:szCs w:val="24"/>
          <w:lang w:val="tr-TR"/>
        </w:rPr>
      </w:pPr>
    </w:p>
    <w:p w:rsidR="00FE4B3D" w:rsidRDefault="00FE4B3D" w:rsidP="008A4050">
      <w:pPr>
        <w:spacing w:line="240" w:lineRule="auto"/>
        <w:jc w:val="both"/>
        <w:rPr>
          <w:rFonts w:ascii="Times New Roman" w:hAnsi="Times New Roman" w:cs="Times New Roman"/>
          <w:b/>
          <w:sz w:val="24"/>
          <w:szCs w:val="24"/>
          <w:lang w:val="tr-TR"/>
        </w:rPr>
      </w:pPr>
    </w:p>
    <w:p w:rsidR="00FE4B3D" w:rsidRDefault="00FE4B3D" w:rsidP="008A4050">
      <w:pPr>
        <w:spacing w:line="240" w:lineRule="auto"/>
        <w:jc w:val="both"/>
        <w:rPr>
          <w:rFonts w:ascii="Times New Roman" w:hAnsi="Times New Roman" w:cs="Times New Roman"/>
          <w:b/>
          <w:sz w:val="24"/>
          <w:szCs w:val="24"/>
          <w:lang w:val="tr-TR"/>
        </w:rPr>
      </w:pPr>
    </w:p>
    <w:p w:rsidR="00FE4B3D" w:rsidRDefault="00FE4B3D" w:rsidP="008A4050">
      <w:pPr>
        <w:spacing w:line="240" w:lineRule="auto"/>
        <w:jc w:val="both"/>
        <w:rPr>
          <w:rFonts w:ascii="Times New Roman" w:hAnsi="Times New Roman" w:cs="Times New Roman"/>
          <w:b/>
          <w:sz w:val="24"/>
          <w:szCs w:val="24"/>
          <w:lang w:val="tr-TR"/>
        </w:rPr>
      </w:pPr>
    </w:p>
    <w:p w:rsidR="00FE4B3D" w:rsidRDefault="00FE4B3D" w:rsidP="008A4050">
      <w:pPr>
        <w:spacing w:line="240" w:lineRule="auto"/>
        <w:jc w:val="both"/>
        <w:rPr>
          <w:rFonts w:ascii="Times New Roman" w:hAnsi="Times New Roman" w:cs="Times New Roman"/>
          <w:b/>
          <w:sz w:val="24"/>
          <w:szCs w:val="24"/>
          <w:lang w:val="tr-TR"/>
        </w:rPr>
      </w:pPr>
    </w:p>
    <w:p w:rsidR="00FE4B3D" w:rsidRPr="008A4050" w:rsidRDefault="00FE4B3D" w:rsidP="008A4050">
      <w:pPr>
        <w:spacing w:line="240" w:lineRule="auto"/>
        <w:jc w:val="both"/>
        <w:rPr>
          <w:rFonts w:ascii="Times New Roman" w:hAnsi="Times New Roman" w:cs="Times New Roman"/>
          <w:b/>
          <w:sz w:val="24"/>
          <w:szCs w:val="24"/>
          <w:lang w:val="tr-TR"/>
        </w:rPr>
      </w:pP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lastRenderedPageBreak/>
        <w:t xml:space="preserve">Çocukların Etnik Kökeni ile Öğretmenlerin Öğrencilerle Olan Etkileşimi Arasındaki İlişki </w:t>
      </w:r>
    </w:p>
    <w:p w:rsidR="008A4050" w:rsidRPr="008A4050" w:rsidRDefault="008A4050" w:rsidP="008A4050">
      <w:pPr>
        <w:spacing w:line="240" w:lineRule="auto"/>
        <w:jc w:val="both"/>
        <w:rPr>
          <w:rFonts w:ascii="Times New Roman" w:hAnsi="Times New Roman" w:cs="Times New Roman"/>
          <w:sz w:val="24"/>
          <w:szCs w:val="24"/>
        </w:rPr>
      </w:pPr>
      <w:r w:rsidRPr="008A4050">
        <w:rPr>
          <w:rFonts w:ascii="Times New Roman" w:hAnsi="Times New Roman" w:cs="Times New Roman"/>
          <w:noProof/>
          <w:sz w:val="24"/>
          <w:szCs w:val="24"/>
        </w:rPr>
        <w:drawing>
          <wp:inline distT="0" distB="0" distL="0" distR="0">
            <wp:extent cx="4333875" cy="2172335"/>
            <wp:effectExtent l="0" t="0" r="0" b="0"/>
            <wp:docPr id="10"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noProof/>
          <w:sz w:val="24"/>
          <w:szCs w:val="24"/>
        </w:rPr>
        <w:drawing>
          <wp:inline distT="0" distB="0" distL="0" distR="0">
            <wp:extent cx="4333875" cy="2172335"/>
            <wp:effectExtent l="0" t="0" r="0" b="0"/>
            <wp:docPr id="11"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4050" w:rsidRP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Doğu Avrupa kökenli öğrencilerle olan etkileşim süresi ile göçmen kökenli olmayan öğrencilerle olan etkileşim süresi arasında fark yoktur. Aynı durum öğrencilerin etnik kökenine göre kendilerine derste söz verilmesi hususunda da geçerlidir: Türk kökenli olan öğrencilere, göçmen kökenli olmayan öğrencilere göre öğretmenler tarafından sınıfta daha az söz verilmektedir. </w:t>
      </w: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2.4. Çarpık Öğretmen Beklentisinin Öğrencilerin Başarısına Olan Etkisi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Yapılan araştırmada çarpık öğretmen beklentisinin öğrencilerin ileriki sürede hangi başarıyı göstermesinde etkili olduğu tespit edilmiştir. Birinci sınıfın başında öğretmen beklentisinin aşırı yüksek olduğu çocuklar, birinci sınıfın sonunda okumada daha yüksek başarıya ulaşmaktadırlar. Olumsuz açıdan çarpık olan öğretmen beklentisinin ise okumada düşük başarıyla bağlantılı olduğu görülmektedir. Matematik alanında da olumlu açıdan çarpık öğretmen beklentisinin öğrencinin başarılı olmasında etkili olduğu ortaya çıkmıştır. Olumsuz açıdan çarpık olan öğretmen beklentisinin öğrencinin matematik alanındaki başarısını etkilemediği saptanmıştır. </w:t>
      </w:r>
    </w:p>
    <w:p w:rsidR="008A4050" w:rsidRP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Sonuç olarak çarpık öğretmen başarı beklentisinin öğrencilerin 1. sınıf sonundaki başarısını etkilediği ortaya çıkmaktadır. 1. sınıfın başında öğretmen bir öğrenciden ne kadar yüksek </w:t>
      </w:r>
      <w:r w:rsidRPr="008A4050">
        <w:rPr>
          <w:rFonts w:ascii="Times New Roman" w:hAnsi="Times New Roman" w:cs="Times New Roman"/>
          <w:sz w:val="24"/>
          <w:szCs w:val="24"/>
          <w:lang w:val="tr-TR"/>
        </w:rPr>
        <w:lastRenderedPageBreak/>
        <w:t xml:space="preserve">başarı beklentisi içerisinde olursa,  o öğrenci birinci sınıfın sonunda o kadar çok öğrenmektedir. </w:t>
      </w:r>
    </w:p>
    <w:p w:rsidR="008A4050" w:rsidRPr="008A4050" w:rsidRDefault="008A4050" w:rsidP="008A4050">
      <w:pPr>
        <w:spacing w:line="240" w:lineRule="auto"/>
        <w:jc w:val="both"/>
        <w:rPr>
          <w:rFonts w:ascii="Times New Roman" w:hAnsi="Times New Roman" w:cs="Times New Roman"/>
          <w:sz w:val="24"/>
          <w:szCs w:val="24"/>
          <w:lang w:val="tr-TR"/>
        </w:rPr>
      </w:pP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3. Proje 3</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Proje 3’te, “</w:t>
      </w:r>
      <w:proofErr w:type="spellStart"/>
      <w:r w:rsidRPr="008A4050">
        <w:rPr>
          <w:rFonts w:ascii="Times New Roman" w:hAnsi="Times New Roman" w:cs="Times New Roman"/>
          <w:sz w:val="24"/>
          <w:szCs w:val="24"/>
          <w:lang w:val="tr-TR"/>
        </w:rPr>
        <w:t>sterotip</w:t>
      </w:r>
      <w:proofErr w:type="spellEnd"/>
      <w:r w:rsidRPr="008A4050">
        <w:rPr>
          <w:rFonts w:ascii="Times New Roman" w:hAnsi="Times New Roman" w:cs="Times New Roman"/>
          <w:sz w:val="24"/>
          <w:szCs w:val="24"/>
          <w:lang w:val="tr-TR"/>
        </w:rPr>
        <w:t xml:space="preserve"> tehdidi altında olan Türk ve Arap kökenli öğrencilerle göçmen kökenli olmayan öğrenciler arasındaki başarı farkında kendini-onaylama uygulaması sayesinde orta vadede ne ölçüde azalma meydana gelir?” sorusu üzerinde durulmuştur. Kendini-onaylamanın öğrencilerin Matematik testindeki başarısına olan etkisi ölçülmüştür.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Araştırmanın örneklemi, Berlin’deki 11 okuldan 50 okul sınıfından oluşmaktadır. Araştırmaya 820 öğrenci katılmıştır. Araştırmaya 777 öğrenciden elde edilen veriler </w:t>
      </w:r>
      <w:proofErr w:type="gramStart"/>
      <w:r w:rsidRPr="008A4050">
        <w:rPr>
          <w:rFonts w:ascii="Times New Roman" w:hAnsi="Times New Roman" w:cs="Times New Roman"/>
          <w:sz w:val="24"/>
          <w:szCs w:val="24"/>
          <w:lang w:val="tr-TR"/>
        </w:rPr>
        <w:t>dahil</w:t>
      </w:r>
      <w:proofErr w:type="gramEnd"/>
      <w:r w:rsidRPr="008A4050">
        <w:rPr>
          <w:rFonts w:ascii="Times New Roman" w:hAnsi="Times New Roman" w:cs="Times New Roman"/>
          <w:sz w:val="24"/>
          <w:szCs w:val="24"/>
          <w:lang w:val="tr-TR"/>
        </w:rPr>
        <w:t xml:space="preserve"> edilmiştir. Öğrenciler araştırma sırasında kontrol grubu ve deney grubu olmak üzere ikiye ayrılmıştır.</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Araştırmada öncelikle öğrencilerin bilişsel yetilerine ilişkin veriler toplanmıştır. Ardından kendini-onaylamaya dayanan yazma sorusu sorulmuştur. Daha sonra ise öğrenciler matematik testine katılmış ve anket doldurmuştur. Öğrencilerin matematik alanındaki başarısı standart bir testle ölçülmüştür (DEMAT 6+). </w:t>
      </w: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Sonuçlar</w:t>
      </w: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Kontrol Grubuna İlişkin Sonuçlar </w:t>
      </w: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Deney ve Kontrol Grubuna ait Matematik Testi Sonuçları, (Puana Göre)</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noProof/>
          <w:sz w:val="24"/>
          <w:szCs w:val="24"/>
        </w:rPr>
        <w:drawing>
          <wp:inline distT="0" distB="0" distL="0" distR="0">
            <wp:extent cx="5866765" cy="3583305"/>
            <wp:effectExtent l="0" t="0" r="0" b="0"/>
            <wp:docPr id="12" name="Objek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1. testteki, yani kendini-onaylamaya dayanan yazma sorusunun arkasından yapılan ölçüm, kontrol grubunun başarıları, öğrencilerin kökenine göre karşılaştırıldığında göçmen kökenli öğrencilerin neredeyse tüm köken gruplarında matematik testinde göçmen kökenli olmayan öğrencilere göre oldukça düşük puan aldıkları görülmektedir. Türk ve Arap kökenli öğrenciler, göçmen kökenli olmayan öğrencilerden 2,1 veya 2,4 puan daha geridedirler. Bu farklılıklar istatistiksel olarak anlamlı çıkmıştır. Doğu Avrupa kökenli öğrenciler ortalama 5,3 </w:t>
      </w:r>
      <w:r w:rsidRPr="008A4050">
        <w:rPr>
          <w:rFonts w:ascii="Times New Roman" w:hAnsi="Times New Roman" w:cs="Times New Roman"/>
          <w:sz w:val="24"/>
          <w:szCs w:val="24"/>
          <w:lang w:val="tr-TR"/>
        </w:rPr>
        <w:lastRenderedPageBreak/>
        <w:t xml:space="preserve">puana ulaşmışlardır. Bu sonuçlara göre doğu Avrupa kökenli öğrencilerin test sonuçları ile göçmen kökenli olmayan öğrencilerin test sonuçları arasında anlamlı bir fark çıkmamıştır. Bu sonuçlar, Almanya için deneysel araştırmalara kanıtlanan </w:t>
      </w:r>
      <w:proofErr w:type="spellStart"/>
      <w:r w:rsidRPr="008A4050">
        <w:rPr>
          <w:rFonts w:ascii="Times New Roman" w:hAnsi="Times New Roman" w:cs="Times New Roman"/>
          <w:sz w:val="24"/>
          <w:szCs w:val="24"/>
          <w:lang w:val="tr-TR"/>
        </w:rPr>
        <w:t>sterotip</w:t>
      </w:r>
      <w:proofErr w:type="spellEnd"/>
      <w:r w:rsidRPr="008A4050">
        <w:rPr>
          <w:rFonts w:ascii="Times New Roman" w:hAnsi="Times New Roman" w:cs="Times New Roman"/>
          <w:sz w:val="24"/>
          <w:szCs w:val="24"/>
          <w:lang w:val="tr-TR"/>
        </w:rPr>
        <w:t xml:space="preserve"> tehdidi ile açıklanabilir (</w:t>
      </w:r>
      <w:proofErr w:type="spellStart"/>
      <w:r w:rsidRPr="008A4050">
        <w:rPr>
          <w:rFonts w:ascii="Times New Roman" w:hAnsi="Times New Roman" w:cs="Times New Roman"/>
          <w:sz w:val="24"/>
          <w:szCs w:val="24"/>
          <w:lang w:val="tr-TR"/>
        </w:rPr>
        <w:t>Appel</w:t>
      </w:r>
      <w:proofErr w:type="spellEnd"/>
      <w:r w:rsidRPr="008A4050">
        <w:rPr>
          <w:rFonts w:ascii="Times New Roman" w:hAnsi="Times New Roman" w:cs="Times New Roman"/>
          <w:sz w:val="24"/>
          <w:szCs w:val="24"/>
          <w:lang w:val="tr-TR"/>
        </w:rPr>
        <w:t xml:space="preserve">/ </w:t>
      </w:r>
      <w:proofErr w:type="spellStart"/>
      <w:r w:rsidRPr="008A4050">
        <w:rPr>
          <w:rFonts w:ascii="Times New Roman" w:hAnsi="Times New Roman" w:cs="Times New Roman"/>
          <w:sz w:val="24"/>
          <w:szCs w:val="24"/>
          <w:lang w:val="tr-TR"/>
        </w:rPr>
        <w:t>Weber</w:t>
      </w:r>
      <w:proofErr w:type="spellEnd"/>
      <w:r w:rsidRPr="008A4050">
        <w:rPr>
          <w:rFonts w:ascii="Times New Roman" w:hAnsi="Times New Roman" w:cs="Times New Roman"/>
          <w:sz w:val="24"/>
          <w:szCs w:val="24"/>
          <w:lang w:val="tr-TR"/>
        </w:rPr>
        <w:t>/</w:t>
      </w:r>
      <w:proofErr w:type="spellStart"/>
      <w:r w:rsidRPr="008A4050">
        <w:rPr>
          <w:rFonts w:ascii="Times New Roman" w:hAnsi="Times New Roman" w:cs="Times New Roman"/>
          <w:sz w:val="24"/>
          <w:szCs w:val="24"/>
          <w:lang w:val="tr-TR"/>
        </w:rPr>
        <w:t>Kroneberger</w:t>
      </w:r>
      <w:proofErr w:type="spellEnd"/>
      <w:r w:rsidRPr="008A4050">
        <w:rPr>
          <w:rFonts w:ascii="Times New Roman" w:hAnsi="Times New Roman" w:cs="Times New Roman"/>
          <w:sz w:val="24"/>
          <w:szCs w:val="24"/>
          <w:lang w:val="tr-TR"/>
        </w:rPr>
        <w:t xml:space="preserve"> 2015; </w:t>
      </w:r>
      <w:proofErr w:type="spellStart"/>
      <w:r w:rsidRPr="008A4050">
        <w:rPr>
          <w:rFonts w:ascii="Times New Roman" w:hAnsi="Times New Roman" w:cs="Times New Roman"/>
          <w:sz w:val="24"/>
          <w:szCs w:val="24"/>
          <w:lang w:val="tr-TR"/>
        </w:rPr>
        <w:t>Martiny</w:t>
      </w:r>
      <w:proofErr w:type="spellEnd"/>
      <w:r w:rsidRPr="008A4050">
        <w:rPr>
          <w:rFonts w:ascii="Times New Roman" w:hAnsi="Times New Roman" w:cs="Times New Roman"/>
          <w:sz w:val="24"/>
          <w:szCs w:val="24"/>
          <w:lang w:val="tr-TR"/>
        </w:rPr>
        <w:t xml:space="preserve"> et al.). Türk kökenli (ve muhtemelen Arap kökenli) öğrenciler olumsuz başarıyla ilgili </w:t>
      </w:r>
      <w:proofErr w:type="spellStart"/>
      <w:r w:rsidRPr="008A4050">
        <w:rPr>
          <w:rFonts w:ascii="Times New Roman" w:hAnsi="Times New Roman" w:cs="Times New Roman"/>
          <w:sz w:val="24"/>
          <w:szCs w:val="24"/>
          <w:lang w:val="tr-TR"/>
        </w:rPr>
        <w:t>sterotip</w:t>
      </w:r>
      <w:proofErr w:type="spellEnd"/>
      <w:r w:rsidRPr="008A4050">
        <w:rPr>
          <w:rFonts w:ascii="Times New Roman" w:hAnsi="Times New Roman" w:cs="Times New Roman"/>
          <w:sz w:val="24"/>
          <w:szCs w:val="24"/>
          <w:lang w:val="tr-TR"/>
        </w:rPr>
        <w:t xml:space="preserve"> tehdidi ile karşı karşıyadırlar. Bu durum da başarılarını olumsuz etkilemektedir.   </w:t>
      </w:r>
    </w:p>
    <w:p w:rsidR="008A4050" w:rsidRPr="008A4050" w:rsidRDefault="008A4050" w:rsidP="008A4050">
      <w:pPr>
        <w:spacing w:line="240" w:lineRule="auto"/>
        <w:jc w:val="both"/>
        <w:rPr>
          <w:rFonts w:ascii="Times New Roman" w:hAnsi="Times New Roman" w:cs="Times New Roman"/>
          <w:b/>
          <w:sz w:val="24"/>
          <w:szCs w:val="24"/>
          <w:lang w:val="tr-TR"/>
        </w:rPr>
      </w:pPr>
      <w:r w:rsidRPr="008A4050">
        <w:rPr>
          <w:rFonts w:ascii="Times New Roman" w:hAnsi="Times New Roman" w:cs="Times New Roman"/>
          <w:b/>
          <w:sz w:val="24"/>
          <w:szCs w:val="24"/>
          <w:lang w:val="tr-TR"/>
        </w:rPr>
        <w:t xml:space="preserve">Deney Grubuna İlişkin Sonuçlar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Bu bölümde kendini-onaylama kompozisyonu yazan deney grubu öğrencilerinin, matematik testinden kontrol grubundaki öğrencilerden daha başarılı sonuçlar elde edip etmediği ölçülmüştür.</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Tüm örneklem grubunun 1. testten elde ettiği başarıda, kontrol ve deney grubu arasında anlamlı fark tespit edilmemiştir. Sonuçlara öğrencilerin kökenlerine göre bakıldığında farklılıklar görülmektedir. Deney grubundaki Türk kökenli öğrencilerin başarıları ile kontrol grubundaki Türk kökenli öğrencilerin başarısı arasında anlamlı fark saptanmıştır. Bu iki grup arasında 0,77 puanlık fark görülmektedir (standart etki değeri d=0,23). Bu durum, kendini-onaylama ile ilgili yapılan uygulamanın bir sonucudur.</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Arap kökenli öğrencilerde uygulama sonrasında yapılan 1. testte anlamlı bir fark görülmemiştir. Bu fark sekiz hafta sonra ortaya çıkmıştır.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Yapılan uygulamada orta vadeli bir sonuç elde etmek için öğrencilere, 1. testten sonra elde ettikleri sonuçlara ilişkin geri bildirimde bulunulmuştur. Bu sayede kendini-onaylayan öğrencilerin 1. testten elde ettikleri iyi sonuçların onları motive etmesi amaçlanmıştır.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Sonuçlara göre 2. testte tüm köken gruplarında hem kontrol hem de deney grubu öğrencilerin başarısının yükseldiği görülmektedir.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Deney grubundaki göçmen kökenli öğrenciler, kontrol grubundaki göçmen öğrencilere göre daha yüksek başarı elde etmişlerdir. Hem Türk kökenli öğrenciler, hem de Arap kökenli öğrencilerde uygulamanın etki değeri anlamlıdır: Kontrol grubundaki Türk kökenli öğrenciler birinci ve ikinci matematik testi arasındaki sekiz hafta içerisinde başarılarını 0,53 puan yükseltirken, deney grubundaki Türk kökenli öğrenciler başarısını 0,77 puan arttırmıştır. Böylece Türk kökenli öğrencilerin 2. testte, kontrol grubundaki Türk kökenli öğrencilere göre 1,01 puan  (standart etki değeri d=0,28) daha başarılı oldukları saptanmıştır. </w:t>
      </w:r>
    </w:p>
    <w:p w:rsidR="008A4050" w:rsidRPr="008A4050" w:rsidRDefault="008A4050" w:rsidP="008A4050">
      <w:pPr>
        <w:spacing w:line="240" w:lineRule="auto"/>
        <w:jc w:val="both"/>
        <w:rPr>
          <w:rFonts w:ascii="Times New Roman" w:hAnsi="Times New Roman" w:cs="Times New Roman"/>
          <w:sz w:val="24"/>
          <w:szCs w:val="24"/>
          <w:lang w:val="tr-TR"/>
        </w:rPr>
      </w:pPr>
      <w:r w:rsidRPr="008A4050">
        <w:rPr>
          <w:rFonts w:ascii="Times New Roman" w:hAnsi="Times New Roman" w:cs="Times New Roman"/>
          <w:sz w:val="24"/>
          <w:szCs w:val="24"/>
          <w:lang w:val="tr-TR"/>
        </w:rPr>
        <w:t xml:space="preserve">Deney grubundaki Arap kökenli öğrenciler, ikinci testten 1,49 puan daha başarılı olmuşlardır. Deney grubu ile kontrol grubunun ikinci testte ilişkin sonuçları karşılaştırıldığında deney grubundaki Arap kökenli öğrencilerin, kontrol grubundaki Arap kökenli öğrencilere </w:t>
      </w:r>
      <w:proofErr w:type="gramStart"/>
      <w:r w:rsidRPr="008A4050">
        <w:rPr>
          <w:rFonts w:ascii="Times New Roman" w:hAnsi="Times New Roman" w:cs="Times New Roman"/>
          <w:sz w:val="24"/>
          <w:szCs w:val="24"/>
          <w:lang w:val="tr-TR"/>
        </w:rPr>
        <w:t>göre  0</w:t>
      </w:r>
      <w:proofErr w:type="gramEnd"/>
      <w:r w:rsidRPr="008A4050">
        <w:rPr>
          <w:rFonts w:ascii="Times New Roman" w:hAnsi="Times New Roman" w:cs="Times New Roman"/>
          <w:sz w:val="24"/>
          <w:szCs w:val="24"/>
          <w:lang w:val="tr-TR"/>
        </w:rPr>
        <w:t xml:space="preserve">,85 puan daha yüksek başarı elde ettiği görülmektedir. Deney ile kontrol grubundaki Arap kökenli öğrencilerin başarıları arasındaki fark birinci testte sadece 0,26 puandır. </w:t>
      </w:r>
    </w:p>
    <w:p w:rsidR="008A4050" w:rsidRPr="008A4050" w:rsidRDefault="008A4050" w:rsidP="008A4050">
      <w:pPr>
        <w:spacing w:line="240" w:lineRule="auto"/>
        <w:jc w:val="both"/>
        <w:rPr>
          <w:rFonts w:ascii="Times New Roman" w:hAnsi="Times New Roman" w:cs="Times New Roman"/>
          <w:b/>
          <w:sz w:val="24"/>
          <w:szCs w:val="24"/>
          <w:lang w:val="tr-TR"/>
        </w:rPr>
      </w:pPr>
    </w:p>
    <w:p w:rsidR="008A4050" w:rsidRPr="008A4050" w:rsidRDefault="008A4050" w:rsidP="008A4050">
      <w:pPr>
        <w:spacing w:line="240" w:lineRule="auto"/>
        <w:jc w:val="both"/>
        <w:rPr>
          <w:rFonts w:ascii="Times New Roman" w:hAnsi="Times New Roman" w:cs="Times New Roman"/>
          <w:b/>
          <w:sz w:val="24"/>
          <w:szCs w:val="24"/>
          <w:lang w:val="tr-TR"/>
        </w:rPr>
      </w:pPr>
    </w:p>
    <w:p w:rsidR="000C7B40" w:rsidRPr="008A4050" w:rsidRDefault="000C7B40" w:rsidP="008A4050">
      <w:pPr>
        <w:spacing w:line="240" w:lineRule="auto"/>
        <w:rPr>
          <w:rFonts w:ascii="Times New Roman" w:hAnsi="Times New Roman" w:cs="Times New Roman"/>
          <w:sz w:val="24"/>
          <w:szCs w:val="24"/>
          <w:lang w:val="tr-TR"/>
        </w:rPr>
      </w:pPr>
    </w:p>
    <w:sectPr w:rsidR="000C7B40" w:rsidRPr="008A4050" w:rsidSect="00274D3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2F" w:rsidRDefault="0086522F" w:rsidP="00FE4B3D">
      <w:pPr>
        <w:spacing w:after="0" w:line="240" w:lineRule="auto"/>
      </w:pPr>
      <w:r>
        <w:separator/>
      </w:r>
    </w:p>
  </w:endnote>
  <w:endnote w:type="continuationSeparator" w:id="1">
    <w:p w:rsidR="0086522F" w:rsidRDefault="0086522F" w:rsidP="00FE4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2F" w:rsidRDefault="0086522F" w:rsidP="00FE4B3D">
      <w:pPr>
        <w:spacing w:after="0" w:line="240" w:lineRule="auto"/>
      </w:pPr>
      <w:r>
        <w:separator/>
      </w:r>
    </w:p>
  </w:footnote>
  <w:footnote w:type="continuationSeparator" w:id="1">
    <w:p w:rsidR="0086522F" w:rsidRDefault="0086522F" w:rsidP="00FE4B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F7F"/>
    <w:multiLevelType w:val="hybridMultilevel"/>
    <w:tmpl w:val="AA843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F531F1"/>
    <w:multiLevelType w:val="multilevel"/>
    <w:tmpl w:val="3840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8C91B25"/>
    <w:multiLevelType w:val="hybridMultilevel"/>
    <w:tmpl w:val="AA843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0C7B40"/>
    <w:rsid w:val="000C7B40"/>
    <w:rsid w:val="00274D30"/>
    <w:rsid w:val="0086522F"/>
    <w:rsid w:val="008A4050"/>
    <w:rsid w:val="00AC0CE1"/>
    <w:rsid w:val="00AC22D0"/>
    <w:rsid w:val="00FE4B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4895854086msonormal">
    <w:name w:val="yiv4895854086msonormal"/>
    <w:basedOn w:val="Normal"/>
    <w:rsid w:val="000C7B4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A40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050"/>
    <w:rPr>
      <w:rFonts w:ascii="Tahoma" w:hAnsi="Tahoma" w:cs="Tahoma"/>
      <w:sz w:val="16"/>
      <w:szCs w:val="16"/>
    </w:rPr>
  </w:style>
  <w:style w:type="paragraph" w:styleId="stbilgi">
    <w:name w:val="header"/>
    <w:basedOn w:val="Normal"/>
    <w:link w:val="stbilgiChar"/>
    <w:uiPriority w:val="99"/>
    <w:semiHidden/>
    <w:unhideWhenUsed/>
    <w:rsid w:val="00FE4B3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E4B3D"/>
  </w:style>
  <w:style w:type="paragraph" w:styleId="Altbilgi">
    <w:name w:val="footer"/>
    <w:basedOn w:val="Normal"/>
    <w:link w:val="AltbilgiChar"/>
    <w:uiPriority w:val="99"/>
    <w:semiHidden/>
    <w:unhideWhenUsed/>
    <w:rsid w:val="00FE4B3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E4B3D"/>
  </w:style>
</w:styles>
</file>

<file path=word/webSettings.xml><?xml version="1.0" encoding="utf-8"?>
<w:webSettings xmlns:r="http://schemas.openxmlformats.org/officeDocument/2006/relationships" xmlns:w="http://schemas.openxmlformats.org/wordprocessingml/2006/main">
  <w:divs>
    <w:div w:id="21214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_al__ma_Sayfas_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_al__ma_Sayfas_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_al__ma_Sayfas_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al__ma_Sayfas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al__ma_Sayfas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al__ma_Sayfas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al__ma_Sayfas_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_al__ma_Sayfas_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_al__ma_Sayfas_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lrMapOvr bg1="lt1" tx1="dk1" bg2="lt2" tx2="dk2" accent1="accent1" accent2="accent2" accent3="accent3" accent4="accent4" accent5="accent5" accent6="accent6" hlink="hlink" folHlink="folHlink"/>
  <c:chart>
    <c:title>
      <c:tx>
        <c:rich>
          <a:bodyPr/>
          <a:lstStyle/>
          <a:p>
            <a:pPr>
              <a:defRPr sz="960" b="1" i="0" u="none" strike="noStrike" baseline="0">
                <a:solidFill>
                  <a:srgbClr val="000000"/>
                </a:solidFill>
                <a:latin typeface="Cambria"/>
                <a:ea typeface="Cambria"/>
                <a:cs typeface="Cambria"/>
              </a:defRPr>
            </a:pPr>
            <a:r>
              <a:rPr lang="de-DE"/>
              <a:t>Alman Olma Kriterlerine İlişkin Sonuçlar</a:t>
            </a:r>
          </a:p>
        </c:rich>
      </c:tx>
      <c:layout>
        <c:manualLayout>
          <c:xMode val="edge"/>
          <c:yMode val="edge"/>
          <c:x val="0.29787609797379228"/>
          <c:y val="1.0371701642349431E-2"/>
        </c:manualLayout>
      </c:layout>
      <c:spPr>
        <a:noFill/>
        <a:ln w="25401">
          <a:noFill/>
        </a:ln>
      </c:spPr>
    </c:title>
    <c:plotArea>
      <c:layout>
        <c:manualLayout>
          <c:layoutTarget val="inner"/>
          <c:xMode val="edge"/>
          <c:yMode val="edge"/>
          <c:x val="0.38834384710178482"/>
          <c:y val="5.0676515336915619E-2"/>
          <c:w val="0.40508474576271203"/>
          <c:h val="0.8666666666666667"/>
        </c:manualLayout>
      </c:layout>
      <c:barChart>
        <c:barDir val="bar"/>
        <c:grouping val="clustered"/>
        <c:ser>
          <c:idx val="0"/>
          <c:order val="0"/>
          <c:tx>
            <c:strRef>
              <c:f>Blatt1!$B$1</c:f>
              <c:strCache>
                <c:ptCount val="1"/>
                <c:pt idx="0">
                  <c:v>Tüm Toplum</c:v>
                </c:pt>
              </c:strCache>
            </c:strRef>
          </c:tx>
          <c:spPr>
            <a:solidFill>
              <a:srgbClr val="4F81BD"/>
            </a:solidFill>
            <a:ln w="25401">
              <a:noFill/>
            </a:ln>
          </c:spPr>
          <c:dLbls>
            <c:spPr>
              <a:noFill/>
              <a:ln w="25401">
                <a:noFill/>
              </a:ln>
            </c:spPr>
            <c:showVal val="1"/>
          </c:dLbls>
          <c:cat>
            <c:strRef>
              <c:f>Blatt1!$A$2:$A$7</c:f>
              <c:strCache>
                <c:ptCount val="6"/>
                <c:pt idx="0">
                  <c:v>Baş Örtüsü Kullanmama</c:v>
                </c:pt>
                <c:pt idx="1">
                  <c:v>Koyu Renk Cilde Sahip Olmama </c:v>
                </c:pt>
                <c:pt idx="2">
                  <c:v>Aksansız  Almanca konuşmak</c:v>
                </c:pt>
                <c:pt idx="3">
                  <c:v>Almanca Bilmek</c:v>
                </c:pt>
                <c:pt idx="4">
                  <c:v>Alman Uyruğu</c:v>
                </c:pt>
                <c:pt idx="5">
                  <c:v>Alman Atalar</c:v>
                </c:pt>
              </c:strCache>
            </c:strRef>
          </c:cat>
          <c:val>
            <c:numRef>
              <c:f>Blatt1!$B$2:$B$7</c:f>
              <c:numCache>
                <c:formatCode>General</c:formatCode>
                <c:ptCount val="6"/>
                <c:pt idx="0">
                  <c:v>38</c:v>
                </c:pt>
                <c:pt idx="1">
                  <c:v>8</c:v>
                </c:pt>
                <c:pt idx="2">
                  <c:v>41</c:v>
                </c:pt>
                <c:pt idx="3">
                  <c:v>97</c:v>
                </c:pt>
                <c:pt idx="4">
                  <c:v>79</c:v>
                </c:pt>
                <c:pt idx="5">
                  <c:v>37</c:v>
                </c:pt>
              </c:numCache>
            </c:numRef>
          </c:val>
        </c:ser>
        <c:ser>
          <c:idx val="1"/>
          <c:order val="1"/>
          <c:tx>
            <c:strRef>
              <c:f>Blatt1!$C$1</c:f>
              <c:strCache>
                <c:ptCount val="1"/>
                <c:pt idx="0">
                  <c:v>Aktif Öğretmenler </c:v>
                </c:pt>
              </c:strCache>
            </c:strRef>
          </c:tx>
          <c:spPr>
            <a:solidFill>
              <a:srgbClr val="C0504D"/>
            </a:solidFill>
            <a:ln w="25401">
              <a:noFill/>
            </a:ln>
          </c:spPr>
          <c:dLbls>
            <c:spPr>
              <a:noFill/>
              <a:ln w="25401">
                <a:noFill/>
              </a:ln>
            </c:spPr>
            <c:showVal val="1"/>
          </c:dLbls>
          <c:cat>
            <c:strRef>
              <c:f>Blatt1!$A$2:$A$7</c:f>
              <c:strCache>
                <c:ptCount val="6"/>
                <c:pt idx="0">
                  <c:v>Baş Örtüsü Kullanmama</c:v>
                </c:pt>
                <c:pt idx="1">
                  <c:v>Koyu Renk Cilde Sahip Olmama </c:v>
                </c:pt>
                <c:pt idx="2">
                  <c:v>Aksansız  Almanca konuşmak</c:v>
                </c:pt>
                <c:pt idx="3">
                  <c:v>Almanca Bilmek</c:v>
                </c:pt>
                <c:pt idx="4">
                  <c:v>Alman Uyruğu</c:v>
                </c:pt>
                <c:pt idx="5">
                  <c:v>Alman Atalar</c:v>
                </c:pt>
              </c:strCache>
            </c:strRef>
          </c:cat>
          <c:val>
            <c:numRef>
              <c:f>Blatt1!$C$2:$C$7</c:f>
              <c:numCache>
                <c:formatCode>General</c:formatCode>
                <c:ptCount val="6"/>
                <c:pt idx="0">
                  <c:v>35</c:v>
                </c:pt>
                <c:pt idx="1">
                  <c:v>2</c:v>
                </c:pt>
                <c:pt idx="2">
                  <c:v>23</c:v>
                </c:pt>
                <c:pt idx="3">
                  <c:v>91</c:v>
                </c:pt>
                <c:pt idx="4">
                  <c:v>68</c:v>
                </c:pt>
                <c:pt idx="5">
                  <c:v>24</c:v>
                </c:pt>
              </c:numCache>
            </c:numRef>
          </c:val>
        </c:ser>
        <c:ser>
          <c:idx val="2"/>
          <c:order val="2"/>
          <c:tx>
            <c:strRef>
              <c:f>Blatt1!$D$1</c:f>
              <c:strCache>
                <c:ptCount val="1"/>
                <c:pt idx="0">
                  <c:v>Eski Öğretmenler</c:v>
                </c:pt>
              </c:strCache>
            </c:strRef>
          </c:tx>
          <c:spPr>
            <a:solidFill>
              <a:srgbClr val="9BBB59"/>
            </a:solidFill>
            <a:ln w="25401">
              <a:noFill/>
            </a:ln>
          </c:spPr>
          <c:dLbls>
            <c:spPr>
              <a:noFill/>
              <a:ln w="25401">
                <a:noFill/>
              </a:ln>
            </c:spPr>
            <c:showVal val="1"/>
          </c:dLbls>
          <c:cat>
            <c:strRef>
              <c:f>Blatt1!$A$2:$A$7</c:f>
              <c:strCache>
                <c:ptCount val="6"/>
                <c:pt idx="0">
                  <c:v>Baş Örtüsü Kullanmama</c:v>
                </c:pt>
                <c:pt idx="1">
                  <c:v>Koyu Renk Cilde Sahip Olmama </c:v>
                </c:pt>
                <c:pt idx="2">
                  <c:v>Aksansız  Almanca konuşmak</c:v>
                </c:pt>
                <c:pt idx="3">
                  <c:v>Almanca Bilmek</c:v>
                </c:pt>
                <c:pt idx="4">
                  <c:v>Alman Uyruğu</c:v>
                </c:pt>
                <c:pt idx="5">
                  <c:v>Alman Atalar</c:v>
                </c:pt>
              </c:strCache>
            </c:strRef>
          </c:cat>
          <c:val>
            <c:numRef>
              <c:f>Blatt1!$D$2:$D$7</c:f>
              <c:numCache>
                <c:formatCode>General</c:formatCode>
                <c:ptCount val="6"/>
                <c:pt idx="0">
                  <c:v>46</c:v>
                </c:pt>
                <c:pt idx="1">
                  <c:v>6</c:v>
                </c:pt>
                <c:pt idx="2">
                  <c:v>39</c:v>
                </c:pt>
                <c:pt idx="3">
                  <c:v>96</c:v>
                </c:pt>
                <c:pt idx="4">
                  <c:v>72</c:v>
                </c:pt>
                <c:pt idx="5">
                  <c:v>28</c:v>
                </c:pt>
              </c:numCache>
            </c:numRef>
          </c:val>
        </c:ser>
        <c:ser>
          <c:idx val="3"/>
          <c:order val="3"/>
          <c:tx>
            <c:strRef>
              <c:f>Blatt1!$E$1</c:f>
              <c:strCache>
                <c:ptCount val="1"/>
                <c:pt idx="0">
                  <c:v>Öğretmen Adayları</c:v>
                </c:pt>
              </c:strCache>
            </c:strRef>
          </c:tx>
          <c:spPr>
            <a:solidFill>
              <a:srgbClr val="8064A2"/>
            </a:solidFill>
            <a:ln w="25401">
              <a:noFill/>
            </a:ln>
          </c:spPr>
          <c:dLbls>
            <c:spPr>
              <a:noFill/>
              <a:ln w="25401">
                <a:noFill/>
              </a:ln>
            </c:spPr>
            <c:showVal val="1"/>
          </c:dLbls>
          <c:cat>
            <c:strRef>
              <c:f>Blatt1!$A$2:$A$7</c:f>
              <c:strCache>
                <c:ptCount val="6"/>
                <c:pt idx="0">
                  <c:v>Baş Örtüsü Kullanmama</c:v>
                </c:pt>
                <c:pt idx="1">
                  <c:v>Koyu Renk Cilde Sahip Olmama </c:v>
                </c:pt>
                <c:pt idx="2">
                  <c:v>Aksansız  Almanca konuşmak</c:v>
                </c:pt>
                <c:pt idx="3">
                  <c:v>Almanca Bilmek</c:v>
                </c:pt>
                <c:pt idx="4">
                  <c:v>Alman Uyruğu</c:v>
                </c:pt>
                <c:pt idx="5">
                  <c:v>Alman Atalar</c:v>
                </c:pt>
              </c:strCache>
            </c:strRef>
          </c:cat>
          <c:val>
            <c:numRef>
              <c:f>Blatt1!$E$2:$E$7</c:f>
              <c:numCache>
                <c:formatCode>General</c:formatCode>
                <c:ptCount val="6"/>
                <c:pt idx="0">
                  <c:v>13</c:v>
                </c:pt>
                <c:pt idx="1">
                  <c:v>6</c:v>
                </c:pt>
                <c:pt idx="2">
                  <c:v>31</c:v>
                </c:pt>
                <c:pt idx="3">
                  <c:v>93</c:v>
                </c:pt>
                <c:pt idx="4">
                  <c:v>78</c:v>
                </c:pt>
                <c:pt idx="5">
                  <c:v>32</c:v>
                </c:pt>
              </c:numCache>
            </c:numRef>
          </c:val>
        </c:ser>
        <c:ser>
          <c:idx val="4"/>
          <c:order val="4"/>
          <c:tx>
            <c:strRef>
              <c:f>Blatt1!$F$1</c:f>
              <c:strCache>
                <c:ptCount val="1"/>
                <c:pt idx="0">
                  <c:v>Tüm Öğretmenler</c:v>
                </c:pt>
              </c:strCache>
            </c:strRef>
          </c:tx>
          <c:spPr>
            <a:solidFill>
              <a:srgbClr val="4BACC6"/>
            </a:solidFill>
            <a:ln w="25401">
              <a:noFill/>
            </a:ln>
          </c:spPr>
          <c:dLbls>
            <c:spPr>
              <a:noFill/>
              <a:ln w="25401">
                <a:noFill/>
              </a:ln>
            </c:spPr>
            <c:showVal val="1"/>
          </c:dLbls>
          <c:cat>
            <c:strRef>
              <c:f>Blatt1!$A$2:$A$7</c:f>
              <c:strCache>
                <c:ptCount val="6"/>
                <c:pt idx="0">
                  <c:v>Baş Örtüsü Kullanmama</c:v>
                </c:pt>
                <c:pt idx="1">
                  <c:v>Koyu Renk Cilde Sahip Olmama </c:v>
                </c:pt>
                <c:pt idx="2">
                  <c:v>Aksansız  Almanca konuşmak</c:v>
                </c:pt>
                <c:pt idx="3">
                  <c:v>Almanca Bilmek</c:v>
                </c:pt>
                <c:pt idx="4">
                  <c:v>Alman Uyruğu</c:v>
                </c:pt>
                <c:pt idx="5">
                  <c:v>Alman Atalar</c:v>
                </c:pt>
              </c:strCache>
            </c:strRef>
          </c:cat>
          <c:val>
            <c:numRef>
              <c:f>Blatt1!$F$2:$F$7</c:f>
              <c:numCache>
                <c:formatCode>General</c:formatCode>
                <c:ptCount val="6"/>
                <c:pt idx="0">
                  <c:v>37</c:v>
                </c:pt>
                <c:pt idx="1">
                  <c:v>4</c:v>
                </c:pt>
                <c:pt idx="2">
                  <c:v>30</c:v>
                </c:pt>
                <c:pt idx="3">
                  <c:v>93</c:v>
                </c:pt>
                <c:pt idx="4">
                  <c:v>71</c:v>
                </c:pt>
                <c:pt idx="5">
                  <c:v>27</c:v>
                </c:pt>
              </c:numCache>
            </c:numRef>
          </c:val>
        </c:ser>
        <c:axId val="103305600"/>
        <c:axId val="103307136"/>
      </c:barChart>
      <c:catAx>
        <c:axId val="103305600"/>
        <c:scaling>
          <c:orientation val="minMax"/>
        </c:scaling>
        <c:axPos val="l"/>
        <c:numFmt formatCode="General" sourceLinked="1"/>
        <c:majorTickMark val="none"/>
        <c:tickLblPos val="nextTo"/>
        <c:spPr>
          <a:ln w="3175">
            <a:solidFill>
              <a:srgbClr val="808080"/>
            </a:solidFill>
            <a:prstDash val="solid"/>
          </a:ln>
        </c:spPr>
        <c:txPr>
          <a:bodyPr/>
          <a:lstStyle/>
          <a:p>
            <a:pPr>
              <a:defRPr sz="1000" b="1" i="0"/>
            </a:pPr>
            <a:endParaRPr lang="de-DE"/>
          </a:p>
        </c:txPr>
        <c:crossAx val="103307136"/>
        <c:crosses val="autoZero"/>
        <c:auto val="1"/>
        <c:lblAlgn val="ctr"/>
        <c:lblOffset val="100"/>
      </c:catAx>
      <c:valAx>
        <c:axId val="103307136"/>
        <c:scaling>
          <c:orientation val="minMax"/>
        </c:scaling>
        <c:axPos val="b"/>
        <c:majorGridlines>
          <c:spPr>
            <a:ln w="3175">
              <a:solidFill>
                <a:srgbClr val="808080"/>
              </a:solidFill>
              <a:prstDash val="solid"/>
            </a:ln>
          </c:spPr>
        </c:majorGridlines>
        <c:numFmt formatCode="General" sourceLinked="1"/>
        <c:majorTickMark val="none"/>
        <c:tickLblPos val="nextTo"/>
        <c:spPr>
          <a:ln w="3175">
            <a:solidFill>
              <a:srgbClr val="808080"/>
            </a:solidFill>
            <a:prstDash val="solid"/>
          </a:ln>
        </c:spPr>
        <c:crossAx val="103305600"/>
        <c:crosses val="autoZero"/>
        <c:crossBetween val="between"/>
      </c:valAx>
      <c:spPr>
        <a:solidFill>
          <a:srgbClr val="FFFFFF"/>
        </a:solidFill>
        <a:ln w="25401">
          <a:noFill/>
        </a:ln>
      </c:spPr>
    </c:plotArea>
    <c:legend>
      <c:legendPos val="r"/>
      <c:layout>
        <c:manualLayout>
          <c:xMode val="edge"/>
          <c:yMode val="edge"/>
          <c:x val="0.79152542372881363"/>
          <c:y val="0.42352941176470615"/>
          <c:w val="0.18305084745762726"/>
          <c:h val="0.44705882352941206"/>
        </c:manualLayout>
      </c:layout>
      <c:spPr>
        <a:noFill/>
        <a:ln w="25401">
          <a:noFill/>
        </a:ln>
      </c:spPr>
    </c:legend>
    <c:plotVisOnly val="1"/>
    <c:dispBlanksAs val="gap"/>
  </c:chart>
  <c:spPr>
    <a:solidFill>
      <a:srgbClr val="FFFFFF"/>
    </a:solidFill>
    <a:ln w="3175">
      <a:solidFill>
        <a:srgbClr val="808080"/>
      </a:solidFill>
      <a:prstDash val="solid"/>
    </a:ln>
  </c:spPr>
  <c:txPr>
    <a:bodyPr/>
    <a:lstStyle/>
    <a:p>
      <a:pPr>
        <a:defRPr sz="800"/>
      </a:pPr>
      <a:endParaRPr lang="de-DE"/>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de-DE"/>
  <c:style val="34"/>
  <c:clrMapOvr bg1="lt1" tx1="dk1" bg2="lt2" tx2="dk2" accent1="accent1" accent2="accent2" accent3="accent3" accent4="accent4" accent5="accent5" accent6="accent6" hlink="hlink" folHlink="folHlink"/>
  <c:chart>
    <c:plotArea>
      <c:layout/>
      <c:barChart>
        <c:barDir val="col"/>
        <c:grouping val="clustered"/>
        <c:ser>
          <c:idx val="0"/>
          <c:order val="0"/>
          <c:tx>
            <c:strRef>
              <c:f>Blatt1!$B$1</c:f>
              <c:strCache>
                <c:ptCount val="1"/>
                <c:pt idx="0">
                  <c:v>Göçmen Kökenli Olmayan </c:v>
                </c:pt>
              </c:strCache>
            </c:strRef>
          </c:tx>
          <c:spPr>
            <a:solidFill>
              <a:srgbClr val="4F81BD"/>
            </a:solidFill>
            <a:ln w="3175">
              <a:solidFill>
                <a:srgbClr val="333399"/>
              </a:solidFill>
              <a:prstDash val="solid"/>
            </a:ln>
          </c:spPr>
          <c:dLbls>
            <c:spPr>
              <a:noFill/>
              <a:ln w="25400">
                <a:noFill/>
              </a:ln>
            </c:spPr>
            <c:txPr>
              <a:bodyPr/>
              <a:lstStyle/>
              <a:p>
                <a:pPr>
                  <a:defRPr sz="1000"/>
                </a:pPr>
                <a:endParaRPr lang="de-DE"/>
              </a:p>
            </c:txPr>
            <c:showVal val="1"/>
          </c:dLbls>
          <c:cat>
            <c:strRef>
              <c:f>Blatt1!$A$2</c:f>
              <c:strCache>
                <c:ptCount val="1"/>
                <c:pt idx="0">
                  <c:v>Etkileşim Süresi</c:v>
                </c:pt>
              </c:strCache>
            </c:strRef>
          </c:cat>
          <c:val>
            <c:numRef>
              <c:f>Blatt1!$B$2</c:f>
              <c:numCache>
                <c:formatCode>General</c:formatCode>
                <c:ptCount val="1"/>
                <c:pt idx="0">
                  <c:v>3.27</c:v>
                </c:pt>
              </c:numCache>
            </c:numRef>
          </c:val>
        </c:ser>
        <c:ser>
          <c:idx val="1"/>
          <c:order val="1"/>
          <c:tx>
            <c:strRef>
              <c:f>Blatt1!$C$1</c:f>
              <c:strCache>
                <c:ptCount val="1"/>
                <c:pt idx="0">
                  <c:v>Türk (2. Nesil)</c:v>
                </c:pt>
              </c:strCache>
            </c:strRef>
          </c:tx>
          <c:spPr>
            <a:solidFill>
              <a:srgbClr val="C0504D"/>
            </a:solidFill>
            <a:ln w="3175">
              <a:solidFill>
                <a:srgbClr val="865357"/>
              </a:solidFill>
              <a:prstDash val="solid"/>
            </a:ln>
          </c:spPr>
          <c:dLbls>
            <c:spPr>
              <a:noFill/>
              <a:ln w="25400">
                <a:noFill/>
              </a:ln>
            </c:spPr>
            <c:txPr>
              <a:bodyPr/>
              <a:lstStyle/>
              <a:p>
                <a:pPr>
                  <a:defRPr sz="1000"/>
                </a:pPr>
                <a:endParaRPr lang="de-DE"/>
              </a:p>
            </c:txPr>
            <c:showVal val="1"/>
          </c:dLbls>
          <c:cat>
            <c:strRef>
              <c:f>Blatt1!$A$2</c:f>
              <c:strCache>
                <c:ptCount val="1"/>
                <c:pt idx="0">
                  <c:v>Etkileşim Süresi</c:v>
                </c:pt>
              </c:strCache>
            </c:strRef>
          </c:cat>
          <c:val>
            <c:numRef>
              <c:f>Blatt1!$C$2</c:f>
              <c:numCache>
                <c:formatCode>General</c:formatCode>
                <c:ptCount val="1"/>
                <c:pt idx="0">
                  <c:v>2.74</c:v>
                </c:pt>
              </c:numCache>
            </c:numRef>
          </c:val>
        </c:ser>
        <c:ser>
          <c:idx val="2"/>
          <c:order val="2"/>
          <c:tx>
            <c:strRef>
              <c:f>Blatt1!$D$1</c:f>
              <c:strCache>
                <c:ptCount val="1"/>
                <c:pt idx="0">
                  <c:v>Doğu Avrupalı (2. Nesil)</c:v>
                </c:pt>
              </c:strCache>
            </c:strRef>
          </c:tx>
          <c:spPr>
            <a:solidFill>
              <a:srgbClr val="9BBB59"/>
            </a:solidFill>
            <a:ln w="3175">
              <a:solidFill>
                <a:srgbClr val="90713A"/>
              </a:solidFill>
              <a:prstDash val="solid"/>
            </a:ln>
          </c:spPr>
          <c:dLbls>
            <c:spPr>
              <a:noFill/>
              <a:ln w="25400">
                <a:noFill/>
              </a:ln>
            </c:spPr>
            <c:txPr>
              <a:bodyPr/>
              <a:lstStyle/>
              <a:p>
                <a:pPr>
                  <a:defRPr sz="1000"/>
                </a:pPr>
                <a:endParaRPr lang="de-DE"/>
              </a:p>
            </c:txPr>
            <c:showVal val="1"/>
          </c:dLbls>
          <c:cat>
            <c:strRef>
              <c:f>Blatt1!$A$2</c:f>
              <c:strCache>
                <c:ptCount val="1"/>
                <c:pt idx="0">
                  <c:v>Etkileşim Süresi</c:v>
                </c:pt>
              </c:strCache>
            </c:strRef>
          </c:cat>
          <c:val>
            <c:numRef>
              <c:f>Blatt1!$D$2</c:f>
              <c:numCache>
                <c:formatCode>General</c:formatCode>
                <c:ptCount val="1"/>
                <c:pt idx="0">
                  <c:v>3.2800000000000002</c:v>
                </c:pt>
              </c:numCache>
            </c:numRef>
          </c:val>
        </c:ser>
        <c:axId val="104344576"/>
        <c:axId val="104358656"/>
      </c:barChart>
      <c:catAx>
        <c:axId val="104344576"/>
        <c:scaling>
          <c:orientation val="minMax"/>
        </c:scaling>
        <c:axPos val="b"/>
        <c:numFmt formatCode="General" sourceLinked="1"/>
        <c:tickLblPos val="nextTo"/>
        <c:spPr>
          <a:ln w="3175">
            <a:solidFill>
              <a:srgbClr val="808080"/>
            </a:solidFill>
            <a:prstDash val="solid"/>
          </a:ln>
        </c:spPr>
        <c:txPr>
          <a:bodyPr/>
          <a:lstStyle/>
          <a:p>
            <a:pPr>
              <a:defRPr sz="1000"/>
            </a:pPr>
            <a:endParaRPr lang="de-DE"/>
          </a:p>
        </c:txPr>
        <c:crossAx val="104358656"/>
        <c:crosses val="autoZero"/>
        <c:auto val="1"/>
        <c:lblAlgn val="ctr"/>
        <c:lblOffset val="100"/>
      </c:catAx>
      <c:valAx>
        <c:axId val="104358656"/>
        <c:scaling>
          <c:orientation val="minMax"/>
          <c:max val="6"/>
          <c:min val="0"/>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txPr>
          <a:bodyPr/>
          <a:lstStyle/>
          <a:p>
            <a:pPr>
              <a:defRPr sz="1000"/>
            </a:pPr>
            <a:endParaRPr lang="de-DE"/>
          </a:p>
        </c:txPr>
        <c:crossAx val="104344576"/>
        <c:crosses val="autoZero"/>
        <c:crossBetween val="between"/>
      </c:valAx>
      <c:spPr>
        <a:solidFill>
          <a:srgbClr val="E7E7E7"/>
        </a:solidFill>
        <a:ln w="25400">
          <a:noFill/>
        </a:ln>
      </c:spPr>
    </c:plotArea>
    <c:legend>
      <c:legendPos val="r"/>
      <c:layout>
        <c:manualLayout>
          <c:xMode val="edge"/>
          <c:yMode val="edge"/>
          <c:x val="0.68149882903981263"/>
          <c:y val="0.20370370370370369"/>
          <c:w val="0.29039812646370022"/>
          <c:h val="0.76543209876543206"/>
        </c:manualLayout>
      </c:layout>
      <c:spPr>
        <a:noFill/>
        <a:ln w="25400">
          <a:noFill/>
        </a:ln>
      </c:spPr>
      <c:txPr>
        <a:bodyPr/>
        <a:lstStyle/>
        <a:p>
          <a:pPr>
            <a:defRPr sz="1000"/>
          </a:pPr>
          <a:endParaRPr lang="de-DE"/>
        </a:p>
      </c:txPr>
    </c:legend>
    <c:plotVisOnly val="1"/>
    <c:dispBlanksAs val="gap"/>
  </c:chart>
  <c:spPr>
    <a:solidFill>
      <a:srgbClr val="FFFFFF"/>
    </a:solidFill>
    <a:ln w="3175">
      <a:solidFill>
        <a:srgbClr val="808080"/>
      </a:solidFill>
      <a:prstDash val="solid"/>
    </a:ln>
  </c:spPr>
  <c:txPr>
    <a:bodyPr/>
    <a:lstStyle/>
    <a:p>
      <a:pPr>
        <a:defRPr sz="1800"/>
      </a:pPr>
      <a:endParaRPr lang="de-DE"/>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de-DE"/>
  <c:style val="34"/>
  <c:clrMapOvr bg1="lt1" tx1="dk1" bg2="lt2" tx2="dk2" accent1="accent1" accent2="accent2" accent3="accent3" accent4="accent4" accent5="accent5" accent6="accent6" hlink="hlink" folHlink="folHlink"/>
  <c:chart>
    <c:plotArea>
      <c:layout/>
      <c:barChart>
        <c:barDir val="col"/>
        <c:grouping val="clustered"/>
        <c:ser>
          <c:idx val="0"/>
          <c:order val="0"/>
          <c:tx>
            <c:strRef>
              <c:f>Blatt1!$B$1</c:f>
              <c:strCache>
                <c:ptCount val="1"/>
                <c:pt idx="0">
                  <c:v>Göçmen Kökenli Olmayan </c:v>
                </c:pt>
              </c:strCache>
            </c:strRef>
          </c:tx>
          <c:spPr>
            <a:solidFill>
              <a:srgbClr val="4F81BD"/>
            </a:solidFill>
            <a:ln w="3175">
              <a:solidFill>
                <a:srgbClr val="333399"/>
              </a:solidFill>
              <a:prstDash val="solid"/>
            </a:ln>
          </c:spPr>
          <c:dLbls>
            <c:spPr>
              <a:noFill/>
              <a:ln w="25400">
                <a:noFill/>
              </a:ln>
            </c:spPr>
            <c:txPr>
              <a:bodyPr/>
              <a:lstStyle/>
              <a:p>
                <a:pPr>
                  <a:defRPr sz="1000"/>
                </a:pPr>
                <a:endParaRPr lang="de-DE"/>
              </a:p>
            </c:txPr>
            <c:showVal val="1"/>
          </c:dLbls>
          <c:cat>
            <c:strRef>
              <c:f>Blatt1!$A$2</c:f>
              <c:strCache>
                <c:ptCount val="1"/>
                <c:pt idx="0">
                  <c:v>Derste Söz Verme</c:v>
                </c:pt>
              </c:strCache>
            </c:strRef>
          </c:cat>
          <c:val>
            <c:numRef>
              <c:f>Blatt1!$B$2</c:f>
              <c:numCache>
                <c:formatCode>General</c:formatCode>
                <c:ptCount val="1"/>
                <c:pt idx="0">
                  <c:v>5.59</c:v>
                </c:pt>
              </c:numCache>
            </c:numRef>
          </c:val>
        </c:ser>
        <c:ser>
          <c:idx val="1"/>
          <c:order val="1"/>
          <c:tx>
            <c:strRef>
              <c:f>Blatt1!$C$1</c:f>
              <c:strCache>
                <c:ptCount val="1"/>
                <c:pt idx="0">
                  <c:v>Türk (2. Nesil)</c:v>
                </c:pt>
              </c:strCache>
            </c:strRef>
          </c:tx>
          <c:spPr>
            <a:solidFill>
              <a:srgbClr val="C0504D"/>
            </a:solidFill>
            <a:ln w="3175">
              <a:solidFill>
                <a:srgbClr val="865357"/>
              </a:solidFill>
              <a:prstDash val="solid"/>
            </a:ln>
          </c:spPr>
          <c:dLbls>
            <c:spPr>
              <a:noFill/>
              <a:ln w="25400">
                <a:noFill/>
              </a:ln>
            </c:spPr>
            <c:txPr>
              <a:bodyPr/>
              <a:lstStyle/>
              <a:p>
                <a:pPr>
                  <a:defRPr sz="1000"/>
                </a:pPr>
                <a:endParaRPr lang="de-DE"/>
              </a:p>
            </c:txPr>
            <c:showVal val="1"/>
          </c:dLbls>
          <c:cat>
            <c:strRef>
              <c:f>Blatt1!$A$2</c:f>
              <c:strCache>
                <c:ptCount val="1"/>
                <c:pt idx="0">
                  <c:v>Derste Söz Verme</c:v>
                </c:pt>
              </c:strCache>
            </c:strRef>
          </c:cat>
          <c:val>
            <c:numRef>
              <c:f>Blatt1!$C$2</c:f>
              <c:numCache>
                <c:formatCode>General</c:formatCode>
                <c:ptCount val="1"/>
                <c:pt idx="0">
                  <c:v>4.4800000000000004</c:v>
                </c:pt>
              </c:numCache>
            </c:numRef>
          </c:val>
        </c:ser>
        <c:ser>
          <c:idx val="2"/>
          <c:order val="2"/>
          <c:tx>
            <c:strRef>
              <c:f>Blatt1!$D$1</c:f>
              <c:strCache>
                <c:ptCount val="1"/>
                <c:pt idx="0">
                  <c:v>Doğu Avrupalı (2. Nesil)</c:v>
                </c:pt>
              </c:strCache>
            </c:strRef>
          </c:tx>
          <c:spPr>
            <a:solidFill>
              <a:srgbClr val="9BBB59"/>
            </a:solidFill>
            <a:ln w="3175">
              <a:solidFill>
                <a:srgbClr val="90713A"/>
              </a:solidFill>
              <a:prstDash val="solid"/>
            </a:ln>
          </c:spPr>
          <c:dLbls>
            <c:spPr>
              <a:noFill/>
              <a:ln w="25400">
                <a:noFill/>
              </a:ln>
            </c:spPr>
            <c:txPr>
              <a:bodyPr/>
              <a:lstStyle/>
              <a:p>
                <a:pPr>
                  <a:defRPr sz="1000"/>
                </a:pPr>
                <a:endParaRPr lang="de-DE"/>
              </a:p>
            </c:txPr>
            <c:showVal val="1"/>
          </c:dLbls>
          <c:cat>
            <c:strRef>
              <c:f>Blatt1!$A$2</c:f>
              <c:strCache>
                <c:ptCount val="1"/>
                <c:pt idx="0">
                  <c:v>Derste Söz Verme</c:v>
                </c:pt>
              </c:strCache>
            </c:strRef>
          </c:cat>
          <c:val>
            <c:numRef>
              <c:f>Blatt1!$D$2</c:f>
              <c:numCache>
                <c:formatCode>General</c:formatCode>
                <c:ptCount val="1"/>
                <c:pt idx="0">
                  <c:v>5.37</c:v>
                </c:pt>
              </c:numCache>
            </c:numRef>
          </c:val>
        </c:ser>
        <c:axId val="104237696"/>
        <c:axId val="104255872"/>
      </c:barChart>
      <c:catAx>
        <c:axId val="104237696"/>
        <c:scaling>
          <c:orientation val="minMax"/>
        </c:scaling>
        <c:axPos val="b"/>
        <c:numFmt formatCode="General" sourceLinked="1"/>
        <c:tickLblPos val="nextTo"/>
        <c:spPr>
          <a:ln w="3175">
            <a:solidFill>
              <a:srgbClr val="808080"/>
            </a:solidFill>
            <a:prstDash val="solid"/>
          </a:ln>
        </c:spPr>
        <c:txPr>
          <a:bodyPr/>
          <a:lstStyle/>
          <a:p>
            <a:pPr>
              <a:defRPr sz="1000"/>
            </a:pPr>
            <a:endParaRPr lang="de-DE"/>
          </a:p>
        </c:txPr>
        <c:crossAx val="104255872"/>
        <c:crosses val="autoZero"/>
        <c:auto val="1"/>
        <c:lblAlgn val="ctr"/>
        <c:lblOffset val="100"/>
      </c:catAx>
      <c:valAx>
        <c:axId val="104255872"/>
        <c:scaling>
          <c:orientation val="minMax"/>
          <c:max val="6"/>
          <c:min val="0"/>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txPr>
          <a:bodyPr/>
          <a:lstStyle/>
          <a:p>
            <a:pPr>
              <a:defRPr sz="1000"/>
            </a:pPr>
            <a:endParaRPr lang="de-DE"/>
          </a:p>
        </c:txPr>
        <c:crossAx val="104237696"/>
        <c:crosses val="autoZero"/>
        <c:crossBetween val="between"/>
      </c:valAx>
      <c:spPr>
        <a:solidFill>
          <a:srgbClr val="E7E7E7"/>
        </a:solidFill>
        <a:ln w="25400">
          <a:noFill/>
        </a:ln>
      </c:spPr>
    </c:plotArea>
    <c:legend>
      <c:legendPos val="r"/>
      <c:layout>
        <c:manualLayout>
          <c:xMode val="edge"/>
          <c:yMode val="edge"/>
          <c:x val="0.68149882903981263"/>
          <c:y val="0.20370370370370369"/>
          <c:w val="0.29039812646370022"/>
          <c:h val="0.76543209876543206"/>
        </c:manualLayout>
      </c:layout>
      <c:spPr>
        <a:noFill/>
        <a:ln w="25400">
          <a:noFill/>
        </a:ln>
      </c:spPr>
      <c:txPr>
        <a:bodyPr/>
        <a:lstStyle/>
        <a:p>
          <a:pPr>
            <a:defRPr sz="1000"/>
          </a:pPr>
          <a:endParaRPr lang="de-DE"/>
        </a:p>
      </c:txPr>
    </c:legend>
    <c:plotVisOnly val="1"/>
    <c:dispBlanksAs val="gap"/>
  </c:chart>
  <c:spPr>
    <a:solidFill>
      <a:srgbClr val="FFFFFF"/>
    </a:solidFill>
    <a:ln w="3175">
      <a:solidFill>
        <a:srgbClr val="808080"/>
      </a:solidFill>
      <a:prstDash val="solid"/>
    </a:ln>
  </c:spPr>
  <c:txPr>
    <a:bodyPr/>
    <a:lstStyle/>
    <a:p>
      <a:pPr>
        <a:defRPr sz="1800"/>
      </a:pPr>
      <a:endParaRPr lang="de-DE"/>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de-DE"/>
  <c:style val="26"/>
  <c:clrMapOvr bg1="lt1" tx1="dk1" bg2="lt2" tx2="dk2" accent1="accent1" accent2="accent2" accent3="accent3" accent4="accent4" accent5="accent5" accent6="accent6" hlink="hlink" folHlink="folHlink"/>
  <c:chart>
    <c:plotArea>
      <c:layout>
        <c:manualLayout>
          <c:layoutTarget val="inner"/>
          <c:xMode val="edge"/>
          <c:yMode val="edge"/>
          <c:x val="7.1186440677966104E-2"/>
          <c:y val="5.0898203592814384E-2"/>
          <c:w val="0.89830508474576243"/>
          <c:h val="0.64371257485029942"/>
        </c:manualLayout>
      </c:layout>
      <c:barChart>
        <c:barDir val="col"/>
        <c:grouping val="clustered"/>
        <c:ser>
          <c:idx val="0"/>
          <c:order val="0"/>
          <c:tx>
            <c:strRef>
              <c:f>Blatt1!$B$1</c:f>
              <c:strCache>
                <c:ptCount val="1"/>
                <c:pt idx="0">
                  <c:v>1. Test: Kontrol Grubu</c:v>
                </c:pt>
              </c:strCache>
            </c:strRef>
          </c:tx>
          <c:spPr>
            <a:solidFill>
              <a:srgbClr val="C3D69B"/>
            </a:solidFill>
            <a:ln w="25397">
              <a:noFill/>
            </a:ln>
            <a:effectLst>
              <a:outerShdw dist="35921" dir="2700000" algn="br">
                <a:srgbClr val="000000"/>
              </a:outerShdw>
            </a:effectLst>
          </c:spPr>
          <c:dLbls>
            <c:spPr>
              <a:noFill/>
              <a:ln w="25397">
                <a:noFill/>
              </a:ln>
            </c:spPr>
            <c:txPr>
              <a:bodyPr/>
              <a:lstStyle/>
              <a:p>
                <a:pPr>
                  <a:defRPr sz="1000"/>
                </a:pPr>
                <a:endParaRPr lang="de-DE"/>
              </a:p>
            </c:txPr>
            <c:dLblPos val="inEnd"/>
            <c:showVal val="1"/>
          </c:dLbls>
          <c:cat>
            <c:strRef>
              <c:f>Blatt1!$A$2:$A$6</c:f>
              <c:strCache>
                <c:ptCount val="5"/>
                <c:pt idx="0">
                  <c:v>Göçmen Kökenli Olmayan </c:v>
                </c:pt>
                <c:pt idx="1">
                  <c:v>Türk Kökenli Göçmen </c:v>
                </c:pt>
                <c:pt idx="2">
                  <c:v>Arap Kökenli Göçmen</c:v>
                </c:pt>
                <c:pt idx="3">
                  <c:v>Doğu Avrupa Kökenli Göçmen</c:v>
                </c:pt>
                <c:pt idx="4">
                  <c:v>Diğer Göçmen Kökenli</c:v>
                </c:pt>
              </c:strCache>
            </c:strRef>
          </c:cat>
          <c:val>
            <c:numRef>
              <c:f>Blatt1!$B$2:$B$6</c:f>
              <c:numCache>
                <c:formatCode>General</c:formatCode>
                <c:ptCount val="5"/>
                <c:pt idx="0" formatCode="0.00">
                  <c:v>5.9</c:v>
                </c:pt>
                <c:pt idx="1">
                  <c:v>3.84</c:v>
                </c:pt>
                <c:pt idx="2">
                  <c:v>3.48</c:v>
                </c:pt>
                <c:pt idx="3">
                  <c:v>5.33</c:v>
                </c:pt>
                <c:pt idx="4">
                  <c:v>4.04</c:v>
                </c:pt>
              </c:numCache>
            </c:numRef>
          </c:val>
        </c:ser>
        <c:ser>
          <c:idx val="1"/>
          <c:order val="1"/>
          <c:tx>
            <c:strRef>
              <c:f>Blatt1!$C$1</c:f>
              <c:strCache>
                <c:ptCount val="1"/>
                <c:pt idx="0">
                  <c:v>1. Test: Deney Grubu</c:v>
                </c:pt>
              </c:strCache>
            </c:strRef>
          </c:tx>
          <c:spPr>
            <a:solidFill>
              <a:srgbClr val="77933C"/>
            </a:solidFill>
            <a:ln w="25397">
              <a:noFill/>
            </a:ln>
            <a:effectLst>
              <a:outerShdw dist="35921" dir="2700000" algn="br">
                <a:srgbClr val="000000"/>
              </a:outerShdw>
            </a:effectLst>
          </c:spPr>
          <c:dLbls>
            <c:spPr>
              <a:noFill/>
              <a:ln w="25397">
                <a:noFill/>
              </a:ln>
            </c:spPr>
            <c:txPr>
              <a:bodyPr/>
              <a:lstStyle/>
              <a:p>
                <a:pPr>
                  <a:defRPr sz="1000"/>
                </a:pPr>
                <a:endParaRPr lang="de-DE"/>
              </a:p>
            </c:txPr>
            <c:dLblPos val="inEnd"/>
            <c:showVal val="1"/>
          </c:dLbls>
          <c:cat>
            <c:strRef>
              <c:f>Blatt1!$A$2:$A$6</c:f>
              <c:strCache>
                <c:ptCount val="5"/>
                <c:pt idx="0">
                  <c:v>Göçmen Kökenli Olmayan </c:v>
                </c:pt>
                <c:pt idx="1">
                  <c:v>Türk Kökenli Göçmen </c:v>
                </c:pt>
                <c:pt idx="2">
                  <c:v>Arap Kökenli Göçmen</c:v>
                </c:pt>
                <c:pt idx="3">
                  <c:v>Doğu Avrupa Kökenli Göçmen</c:v>
                </c:pt>
                <c:pt idx="4">
                  <c:v>Diğer Göçmen Kökenli</c:v>
                </c:pt>
              </c:strCache>
            </c:strRef>
          </c:cat>
          <c:val>
            <c:numRef>
              <c:f>Blatt1!$C$2:$C$6</c:f>
              <c:numCache>
                <c:formatCode>General</c:formatCode>
                <c:ptCount val="5"/>
                <c:pt idx="0">
                  <c:v>5.8599999999999985</c:v>
                </c:pt>
                <c:pt idx="1">
                  <c:v>4.6099999999999985</c:v>
                </c:pt>
                <c:pt idx="2">
                  <c:v>3.74</c:v>
                </c:pt>
                <c:pt idx="3">
                  <c:v>5.14</c:v>
                </c:pt>
                <c:pt idx="4">
                  <c:v>4.2699999999999996</c:v>
                </c:pt>
              </c:numCache>
            </c:numRef>
          </c:val>
        </c:ser>
        <c:ser>
          <c:idx val="2"/>
          <c:order val="2"/>
          <c:tx>
            <c:strRef>
              <c:f>Blatt1!$D$1</c:f>
              <c:strCache>
                <c:ptCount val="1"/>
                <c:pt idx="0">
                  <c:v>2. Test: Kontrol Grubu</c:v>
                </c:pt>
              </c:strCache>
            </c:strRef>
          </c:tx>
          <c:spPr>
            <a:solidFill>
              <a:srgbClr val="B9CDE5"/>
            </a:solidFill>
            <a:ln w="25397">
              <a:noFill/>
            </a:ln>
            <a:effectLst>
              <a:outerShdw dist="35921" dir="2700000" algn="br">
                <a:srgbClr val="000000"/>
              </a:outerShdw>
            </a:effectLst>
          </c:spPr>
          <c:dLbls>
            <c:spPr>
              <a:noFill/>
              <a:ln w="25397">
                <a:noFill/>
              </a:ln>
            </c:spPr>
            <c:txPr>
              <a:bodyPr/>
              <a:lstStyle/>
              <a:p>
                <a:pPr>
                  <a:defRPr sz="1000"/>
                </a:pPr>
                <a:endParaRPr lang="de-DE"/>
              </a:p>
            </c:txPr>
            <c:dLblPos val="inEnd"/>
            <c:showVal val="1"/>
          </c:dLbls>
          <c:cat>
            <c:strRef>
              <c:f>Blatt1!$A$2:$A$6</c:f>
              <c:strCache>
                <c:ptCount val="5"/>
                <c:pt idx="0">
                  <c:v>Göçmen Kökenli Olmayan </c:v>
                </c:pt>
                <c:pt idx="1">
                  <c:v>Türk Kökenli Göçmen </c:v>
                </c:pt>
                <c:pt idx="2">
                  <c:v>Arap Kökenli Göçmen</c:v>
                </c:pt>
                <c:pt idx="3">
                  <c:v>Doğu Avrupa Kökenli Göçmen</c:v>
                </c:pt>
                <c:pt idx="4">
                  <c:v>Diğer Göçmen Kökenli</c:v>
                </c:pt>
              </c:strCache>
            </c:strRef>
          </c:cat>
          <c:val>
            <c:numRef>
              <c:f>Blatt1!$D$2:$D$6</c:f>
              <c:numCache>
                <c:formatCode>General</c:formatCode>
                <c:ptCount val="5"/>
                <c:pt idx="0">
                  <c:v>6.6499999999999995</c:v>
                </c:pt>
                <c:pt idx="1">
                  <c:v>4.37</c:v>
                </c:pt>
                <c:pt idx="2">
                  <c:v>4.38</c:v>
                </c:pt>
                <c:pt idx="3">
                  <c:v>5.84</c:v>
                </c:pt>
                <c:pt idx="4">
                  <c:v>4.5199999999999996</c:v>
                </c:pt>
              </c:numCache>
            </c:numRef>
          </c:val>
        </c:ser>
        <c:ser>
          <c:idx val="3"/>
          <c:order val="3"/>
          <c:tx>
            <c:strRef>
              <c:f>Blatt1!$E$1</c:f>
              <c:strCache>
                <c:ptCount val="1"/>
                <c:pt idx="0">
                  <c:v>2. Test: Deney Grubu</c:v>
                </c:pt>
              </c:strCache>
            </c:strRef>
          </c:tx>
          <c:spPr>
            <a:solidFill>
              <a:srgbClr val="4F81BD"/>
            </a:solidFill>
            <a:ln w="25397">
              <a:noFill/>
            </a:ln>
            <a:effectLst>
              <a:outerShdw dist="35921" dir="2700000" algn="br">
                <a:srgbClr val="000000"/>
              </a:outerShdw>
            </a:effectLst>
          </c:spPr>
          <c:dLbls>
            <c:spPr>
              <a:noFill/>
              <a:ln w="25397">
                <a:noFill/>
              </a:ln>
            </c:spPr>
            <c:txPr>
              <a:bodyPr/>
              <a:lstStyle/>
              <a:p>
                <a:pPr>
                  <a:defRPr sz="1000"/>
                </a:pPr>
                <a:endParaRPr lang="de-DE"/>
              </a:p>
            </c:txPr>
            <c:dLblPos val="inEnd"/>
            <c:showVal val="1"/>
          </c:dLbls>
          <c:cat>
            <c:strRef>
              <c:f>Blatt1!$A$2:$A$6</c:f>
              <c:strCache>
                <c:ptCount val="5"/>
                <c:pt idx="0">
                  <c:v>Göçmen Kökenli Olmayan </c:v>
                </c:pt>
                <c:pt idx="1">
                  <c:v>Türk Kökenli Göçmen </c:v>
                </c:pt>
                <c:pt idx="2">
                  <c:v>Arap Kökenli Göçmen</c:v>
                </c:pt>
                <c:pt idx="3">
                  <c:v>Doğu Avrupa Kökenli Göçmen</c:v>
                </c:pt>
                <c:pt idx="4">
                  <c:v>Diğer Göçmen Kökenli</c:v>
                </c:pt>
              </c:strCache>
            </c:strRef>
          </c:cat>
          <c:val>
            <c:numRef>
              <c:f>Blatt1!$E$2:$E$6</c:f>
              <c:numCache>
                <c:formatCode>General</c:formatCode>
                <c:ptCount val="5"/>
                <c:pt idx="0">
                  <c:v>6.68</c:v>
                </c:pt>
                <c:pt idx="1">
                  <c:v>5.38</c:v>
                </c:pt>
                <c:pt idx="2">
                  <c:v>5.23</c:v>
                </c:pt>
                <c:pt idx="3">
                  <c:v>6.45</c:v>
                </c:pt>
                <c:pt idx="4">
                  <c:v>5.31</c:v>
                </c:pt>
              </c:numCache>
            </c:numRef>
          </c:val>
        </c:ser>
        <c:gapWidth val="75"/>
        <c:axId val="105500032"/>
        <c:axId val="105530496"/>
      </c:barChart>
      <c:catAx>
        <c:axId val="105500032"/>
        <c:scaling>
          <c:orientation val="minMax"/>
        </c:scaling>
        <c:axPos val="b"/>
        <c:numFmt formatCode="General" sourceLinked="1"/>
        <c:majorTickMark val="none"/>
        <c:tickLblPos val="nextTo"/>
        <c:spPr>
          <a:ln w="3175">
            <a:solidFill>
              <a:srgbClr val="808080"/>
            </a:solidFill>
            <a:prstDash val="solid"/>
          </a:ln>
        </c:spPr>
        <c:txPr>
          <a:bodyPr/>
          <a:lstStyle/>
          <a:p>
            <a:pPr>
              <a:defRPr sz="1100"/>
            </a:pPr>
            <a:endParaRPr lang="de-DE"/>
          </a:p>
        </c:txPr>
        <c:crossAx val="105530496"/>
        <c:crosses val="autoZero"/>
        <c:auto val="1"/>
        <c:lblAlgn val="ctr"/>
        <c:lblOffset val="100"/>
      </c:catAx>
      <c:valAx>
        <c:axId val="105530496"/>
        <c:scaling>
          <c:orientation val="minMax"/>
          <c:max val="8"/>
        </c:scaling>
        <c:axPos val="l"/>
        <c:majorGridlines>
          <c:spPr>
            <a:ln w="3175">
              <a:solidFill>
                <a:srgbClr val="808080"/>
              </a:solidFill>
              <a:prstDash val="solid"/>
            </a:ln>
          </c:spPr>
        </c:majorGridlines>
        <c:numFmt formatCode="0.00" sourceLinked="1"/>
        <c:majorTickMark val="none"/>
        <c:tickLblPos val="nextTo"/>
        <c:spPr>
          <a:ln w="3175">
            <a:solidFill>
              <a:srgbClr val="808080"/>
            </a:solidFill>
            <a:prstDash val="solid"/>
          </a:ln>
        </c:spPr>
        <c:txPr>
          <a:bodyPr/>
          <a:lstStyle/>
          <a:p>
            <a:pPr>
              <a:defRPr sz="1000"/>
            </a:pPr>
            <a:endParaRPr lang="de-DE"/>
          </a:p>
        </c:txPr>
        <c:crossAx val="105500032"/>
        <c:crosses val="autoZero"/>
        <c:crossBetween val="between"/>
      </c:valAx>
      <c:spPr>
        <a:solidFill>
          <a:srgbClr val="FFFFFF"/>
        </a:solidFill>
        <a:ln w="25397">
          <a:noFill/>
        </a:ln>
      </c:spPr>
    </c:plotArea>
    <c:legend>
      <c:legendPos val="r"/>
      <c:layout>
        <c:manualLayout>
          <c:xMode val="edge"/>
          <c:yMode val="edge"/>
          <c:x val="0.2389830508474578"/>
          <c:y val="0.79341317365269459"/>
          <c:w val="0.52203389830508473"/>
          <c:h val="0.15568862275449111"/>
        </c:manualLayout>
      </c:layout>
      <c:spPr>
        <a:noFill/>
        <a:ln w="25397">
          <a:noFill/>
        </a:ln>
      </c:spPr>
      <c:txPr>
        <a:bodyPr/>
        <a:lstStyle/>
        <a:p>
          <a:pPr>
            <a:defRPr sz="1100"/>
          </a:pPr>
          <a:endParaRPr lang="de-DE"/>
        </a:p>
      </c:txPr>
    </c:legend>
    <c:plotVisOnly val="1"/>
    <c:dispBlanksAs val="gap"/>
  </c:chart>
  <c:spPr>
    <a:solidFill>
      <a:srgbClr val="FFFFFF"/>
    </a:solidFill>
    <a:ln w="3175">
      <a:solidFill>
        <a:srgbClr val="808080"/>
      </a:solidFill>
      <a:prstDash val="solid"/>
    </a:ln>
  </c:spPr>
  <c:txPr>
    <a:bodyPr/>
    <a:lstStyle/>
    <a:p>
      <a:pPr>
        <a:defRPr sz="1800" b="0" i="0" u="none" strike="noStrike" baseline="0">
          <a:solidFill>
            <a:srgbClr val="000000"/>
          </a:solidFill>
          <a:latin typeface="Cambria"/>
          <a:ea typeface="Cambria"/>
          <a:cs typeface="Cambria"/>
        </a:defRPr>
      </a:pPr>
      <a:endParaRPr lang="de-DE"/>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clrMapOvr bg1="lt1" tx1="dk1" bg2="lt2" tx2="dk2" accent1="accent1" accent2="accent2" accent3="accent3" accent4="accent4" accent5="accent5" accent6="accent6" hlink="hlink" folHlink="folHlink"/>
  <c:chart>
    <c:title>
      <c:tx>
        <c:rich>
          <a:bodyPr/>
          <a:lstStyle/>
          <a:p>
            <a:pPr>
              <a:defRPr sz="1000"/>
            </a:pPr>
            <a:r>
              <a:rPr lang="tr-TR" sz="1000" b="1" dirty="0" smtClean="0">
                <a:effectLst/>
              </a:rPr>
              <a:t>Dinsel-Siyasal Tutuma</a:t>
            </a:r>
            <a:r>
              <a:rPr lang="tr-TR" sz="1000" b="1" baseline="0" dirty="0" smtClean="0">
                <a:effectLst/>
              </a:rPr>
              <a:t> İlişkin Sonuçlar</a:t>
            </a:r>
            <a:r>
              <a:rPr lang="tr-TR" sz="1000" b="1" dirty="0" smtClean="0">
                <a:effectLst/>
              </a:rPr>
              <a:t> </a:t>
            </a:r>
            <a:endParaRPr lang="tr-TR" sz="1000" dirty="0">
              <a:effectLst/>
            </a:endParaRPr>
          </a:p>
        </c:rich>
      </c:tx>
      <c:layout>
        <c:manualLayout>
          <c:xMode val="edge"/>
          <c:yMode val="edge"/>
          <c:x val="0.14829153300281919"/>
          <c:y val="1.8884907449545391E-3"/>
        </c:manualLayout>
      </c:layout>
      <c:spPr>
        <a:noFill/>
        <a:ln w="25389">
          <a:noFill/>
        </a:ln>
      </c:spPr>
    </c:title>
    <c:plotArea>
      <c:layout>
        <c:manualLayout>
          <c:layoutTarget val="inner"/>
          <c:xMode val="edge"/>
          <c:yMode val="edge"/>
          <c:x val="0.39655716370233102"/>
          <c:y val="0"/>
          <c:w val="0.41959605819720086"/>
          <c:h val="0.93312405140908561"/>
        </c:manualLayout>
      </c:layout>
      <c:barChart>
        <c:barDir val="bar"/>
        <c:grouping val="clustered"/>
        <c:ser>
          <c:idx val="0"/>
          <c:order val="0"/>
          <c:tx>
            <c:strRef>
              <c:f>Blatt1!$B$1</c:f>
              <c:strCache>
                <c:ptCount val="1"/>
                <c:pt idx="0">
                  <c:v>Tüm Toplum</c:v>
                </c:pt>
              </c:strCache>
            </c:strRef>
          </c:tx>
          <c:spPr>
            <a:solidFill>
              <a:srgbClr val="4F81BD"/>
            </a:solidFill>
            <a:ln w="25389">
              <a:noFill/>
            </a:ln>
          </c:spPr>
          <c:dLbls>
            <c:spPr>
              <a:noFill/>
              <a:ln w="25389">
                <a:noFill/>
              </a:ln>
            </c:spPr>
            <c:showVal val="1"/>
          </c:dLbls>
          <c:cat>
            <c:strRef>
              <c:f>Blatt1!$A$2:$A$7</c:f>
              <c:strCache>
                <c:ptCount val="6"/>
                <c:pt idx="0">
                  <c:v>İslam Din Dersi Sunmak</c:v>
                </c:pt>
                <c:pt idx="1">
                  <c:v>Cami İnşaasını Sınırlandırmak</c:v>
                </c:pt>
                <c:pt idx="2">
                  <c:v>Öğretmenin Baş Örtüsü Takmasına İzin Vermek</c:v>
                </c:pt>
                <c:pt idx="3">
                  <c:v>Sünneti Yasaklamak</c:v>
                </c:pt>
                <c:pt idx="4">
                  <c:v>Din Dersleri Sunmak</c:v>
                </c:pt>
                <c:pt idx="5">
                  <c:v>Sınıfta Dinsel Simgelere İzin Vermek</c:v>
                </c:pt>
              </c:strCache>
            </c:strRef>
          </c:cat>
          <c:val>
            <c:numRef>
              <c:f>Blatt1!$B$2:$B$7</c:f>
              <c:numCache>
                <c:formatCode>General</c:formatCode>
                <c:ptCount val="6"/>
                <c:pt idx="0">
                  <c:v>68</c:v>
                </c:pt>
                <c:pt idx="1">
                  <c:v>43</c:v>
                </c:pt>
                <c:pt idx="2">
                  <c:v>48</c:v>
                </c:pt>
                <c:pt idx="3">
                  <c:v>61</c:v>
                </c:pt>
                <c:pt idx="4">
                  <c:v>82</c:v>
                </c:pt>
                <c:pt idx="5">
                  <c:v>48</c:v>
                </c:pt>
              </c:numCache>
            </c:numRef>
          </c:val>
        </c:ser>
        <c:ser>
          <c:idx val="1"/>
          <c:order val="1"/>
          <c:tx>
            <c:strRef>
              <c:f>Blatt1!$C$1</c:f>
              <c:strCache>
                <c:ptCount val="1"/>
                <c:pt idx="0">
                  <c:v>Aktif Öğretmenler </c:v>
                </c:pt>
              </c:strCache>
            </c:strRef>
          </c:tx>
          <c:spPr>
            <a:solidFill>
              <a:srgbClr val="C0504D"/>
            </a:solidFill>
            <a:ln w="25389">
              <a:noFill/>
            </a:ln>
          </c:spPr>
          <c:dLbls>
            <c:spPr>
              <a:noFill/>
              <a:ln w="25389">
                <a:noFill/>
              </a:ln>
            </c:spPr>
            <c:showVal val="1"/>
          </c:dLbls>
          <c:cat>
            <c:strRef>
              <c:f>Blatt1!$A$2:$A$7</c:f>
              <c:strCache>
                <c:ptCount val="6"/>
                <c:pt idx="0">
                  <c:v>İslam Din Dersi Sunmak</c:v>
                </c:pt>
                <c:pt idx="1">
                  <c:v>Cami İnşaasını Sınırlandırmak</c:v>
                </c:pt>
                <c:pt idx="2">
                  <c:v>Öğretmenin Baş Örtüsü Takmasına İzin Vermek</c:v>
                </c:pt>
                <c:pt idx="3">
                  <c:v>Sünneti Yasaklamak</c:v>
                </c:pt>
                <c:pt idx="4">
                  <c:v>Din Dersleri Sunmak</c:v>
                </c:pt>
                <c:pt idx="5">
                  <c:v>Sınıfta Dinsel Simgelere İzin Vermek</c:v>
                </c:pt>
              </c:strCache>
            </c:strRef>
          </c:cat>
          <c:val>
            <c:numRef>
              <c:f>Blatt1!$C$2:$C$7</c:f>
              <c:numCache>
                <c:formatCode>General</c:formatCode>
                <c:ptCount val="6"/>
                <c:pt idx="0">
                  <c:v>79</c:v>
                </c:pt>
                <c:pt idx="1">
                  <c:v>25</c:v>
                </c:pt>
                <c:pt idx="2">
                  <c:v>58</c:v>
                </c:pt>
                <c:pt idx="3">
                  <c:v>54</c:v>
                </c:pt>
                <c:pt idx="4">
                  <c:v>88</c:v>
                </c:pt>
                <c:pt idx="5">
                  <c:v>42</c:v>
                </c:pt>
              </c:numCache>
            </c:numRef>
          </c:val>
        </c:ser>
        <c:ser>
          <c:idx val="2"/>
          <c:order val="2"/>
          <c:tx>
            <c:strRef>
              <c:f>Blatt1!$D$1</c:f>
              <c:strCache>
                <c:ptCount val="1"/>
                <c:pt idx="0">
                  <c:v>Eski Öğretmenler</c:v>
                </c:pt>
              </c:strCache>
            </c:strRef>
          </c:tx>
          <c:spPr>
            <a:solidFill>
              <a:srgbClr val="9BBB59"/>
            </a:solidFill>
            <a:ln w="25389">
              <a:noFill/>
            </a:ln>
          </c:spPr>
          <c:dLbls>
            <c:spPr>
              <a:noFill/>
              <a:ln w="25389">
                <a:noFill/>
              </a:ln>
            </c:spPr>
            <c:showVal val="1"/>
          </c:dLbls>
          <c:cat>
            <c:strRef>
              <c:f>Blatt1!$A$2:$A$7</c:f>
              <c:strCache>
                <c:ptCount val="6"/>
                <c:pt idx="0">
                  <c:v>İslam Din Dersi Sunmak</c:v>
                </c:pt>
                <c:pt idx="1">
                  <c:v>Cami İnşaasını Sınırlandırmak</c:v>
                </c:pt>
                <c:pt idx="2">
                  <c:v>Öğretmenin Baş Örtüsü Takmasına İzin Vermek</c:v>
                </c:pt>
                <c:pt idx="3">
                  <c:v>Sünneti Yasaklamak</c:v>
                </c:pt>
                <c:pt idx="4">
                  <c:v>Din Dersleri Sunmak</c:v>
                </c:pt>
                <c:pt idx="5">
                  <c:v>Sınıfta Dinsel Simgelere İzin Vermek</c:v>
                </c:pt>
              </c:strCache>
            </c:strRef>
          </c:cat>
          <c:val>
            <c:numRef>
              <c:f>Blatt1!$D$2:$D$7</c:f>
              <c:numCache>
                <c:formatCode>General</c:formatCode>
                <c:ptCount val="6"/>
                <c:pt idx="0">
                  <c:v>58</c:v>
                </c:pt>
                <c:pt idx="1">
                  <c:v>38</c:v>
                </c:pt>
                <c:pt idx="2">
                  <c:v>31</c:v>
                </c:pt>
                <c:pt idx="3">
                  <c:v>59</c:v>
                </c:pt>
                <c:pt idx="4">
                  <c:v>71</c:v>
                </c:pt>
                <c:pt idx="5">
                  <c:v>47</c:v>
                </c:pt>
              </c:numCache>
            </c:numRef>
          </c:val>
        </c:ser>
        <c:ser>
          <c:idx val="3"/>
          <c:order val="3"/>
          <c:tx>
            <c:strRef>
              <c:f>Blatt1!$E$1</c:f>
              <c:strCache>
                <c:ptCount val="1"/>
                <c:pt idx="0">
                  <c:v>Öğretmen Adayları</c:v>
                </c:pt>
              </c:strCache>
            </c:strRef>
          </c:tx>
          <c:spPr>
            <a:solidFill>
              <a:srgbClr val="8064A2"/>
            </a:solidFill>
            <a:ln w="25389">
              <a:noFill/>
            </a:ln>
          </c:spPr>
          <c:dLbls>
            <c:spPr>
              <a:noFill/>
              <a:ln w="25389">
                <a:noFill/>
              </a:ln>
            </c:spPr>
            <c:showVal val="1"/>
          </c:dLbls>
          <c:cat>
            <c:strRef>
              <c:f>Blatt1!$A$2:$A$7</c:f>
              <c:strCache>
                <c:ptCount val="6"/>
                <c:pt idx="0">
                  <c:v>İslam Din Dersi Sunmak</c:v>
                </c:pt>
                <c:pt idx="1">
                  <c:v>Cami İnşaasını Sınırlandırmak</c:v>
                </c:pt>
                <c:pt idx="2">
                  <c:v>Öğretmenin Baş Örtüsü Takmasına İzin Vermek</c:v>
                </c:pt>
                <c:pt idx="3">
                  <c:v>Sünneti Yasaklamak</c:v>
                </c:pt>
                <c:pt idx="4">
                  <c:v>Din Dersleri Sunmak</c:v>
                </c:pt>
                <c:pt idx="5">
                  <c:v>Sınıfta Dinsel Simgelere İzin Vermek</c:v>
                </c:pt>
              </c:strCache>
            </c:strRef>
          </c:cat>
          <c:val>
            <c:numRef>
              <c:f>Blatt1!$E$2:$E$7</c:f>
              <c:numCache>
                <c:formatCode>General</c:formatCode>
                <c:ptCount val="6"/>
                <c:pt idx="0">
                  <c:v>66</c:v>
                </c:pt>
                <c:pt idx="1">
                  <c:v>32</c:v>
                </c:pt>
                <c:pt idx="2">
                  <c:v>77</c:v>
                </c:pt>
                <c:pt idx="3">
                  <c:v>58</c:v>
                </c:pt>
                <c:pt idx="4">
                  <c:v>95</c:v>
                </c:pt>
                <c:pt idx="5">
                  <c:v>40</c:v>
                </c:pt>
              </c:numCache>
            </c:numRef>
          </c:val>
        </c:ser>
        <c:ser>
          <c:idx val="4"/>
          <c:order val="4"/>
          <c:tx>
            <c:strRef>
              <c:f>Blatt1!$F$1</c:f>
              <c:strCache>
                <c:ptCount val="1"/>
                <c:pt idx="0">
                  <c:v>Tüm Öğretmenler</c:v>
                </c:pt>
              </c:strCache>
            </c:strRef>
          </c:tx>
          <c:spPr>
            <a:solidFill>
              <a:srgbClr val="4BACC6"/>
            </a:solidFill>
            <a:ln w="25389">
              <a:noFill/>
            </a:ln>
          </c:spPr>
          <c:dLbls>
            <c:spPr>
              <a:noFill/>
              <a:ln w="25389">
                <a:noFill/>
              </a:ln>
            </c:spPr>
            <c:showVal val="1"/>
          </c:dLbls>
          <c:cat>
            <c:strRef>
              <c:f>Blatt1!$A$2:$A$7</c:f>
              <c:strCache>
                <c:ptCount val="6"/>
                <c:pt idx="0">
                  <c:v>İslam Din Dersi Sunmak</c:v>
                </c:pt>
                <c:pt idx="1">
                  <c:v>Cami İnşaasını Sınırlandırmak</c:v>
                </c:pt>
                <c:pt idx="2">
                  <c:v>Öğretmenin Baş Örtüsü Takmasına İzin Vermek</c:v>
                </c:pt>
                <c:pt idx="3">
                  <c:v>Sünneti Yasaklamak</c:v>
                </c:pt>
                <c:pt idx="4">
                  <c:v>Din Dersleri Sunmak</c:v>
                </c:pt>
                <c:pt idx="5">
                  <c:v>Sınıfta Dinsel Simgelere İzin Vermek</c:v>
                </c:pt>
              </c:strCache>
            </c:strRef>
          </c:cat>
          <c:val>
            <c:numRef>
              <c:f>Blatt1!$F$2:$F$7</c:f>
              <c:numCache>
                <c:formatCode>General</c:formatCode>
                <c:ptCount val="6"/>
                <c:pt idx="0">
                  <c:v>70</c:v>
                </c:pt>
                <c:pt idx="1">
                  <c:v>30</c:v>
                </c:pt>
                <c:pt idx="2">
                  <c:v>50</c:v>
                </c:pt>
                <c:pt idx="3">
                  <c:v>56</c:v>
                </c:pt>
                <c:pt idx="4">
                  <c:v>83</c:v>
                </c:pt>
                <c:pt idx="5">
                  <c:v>43</c:v>
                </c:pt>
              </c:numCache>
            </c:numRef>
          </c:val>
        </c:ser>
        <c:axId val="103296000"/>
        <c:axId val="103625472"/>
      </c:barChart>
      <c:catAx>
        <c:axId val="103296000"/>
        <c:scaling>
          <c:orientation val="minMax"/>
        </c:scaling>
        <c:axPos val="l"/>
        <c:numFmt formatCode="General" sourceLinked="1"/>
        <c:majorTickMark val="none"/>
        <c:tickLblPos val="nextTo"/>
        <c:spPr>
          <a:ln w="3174">
            <a:solidFill>
              <a:srgbClr val="808080"/>
            </a:solidFill>
            <a:prstDash val="solid"/>
          </a:ln>
        </c:spPr>
        <c:txPr>
          <a:bodyPr/>
          <a:lstStyle/>
          <a:p>
            <a:pPr>
              <a:defRPr sz="1000" b="1" i="0"/>
            </a:pPr>
            <a:endParaRPr lang="de-DE"/>
          </a:p>
        </c:txPr>
        <c:crossAx val="103625472"/>
        <c:crosses val="autoZero"/>
        <c:auto val="1"/>
        <c:lblAlgn val="ctr"/>
        <c:lblOffset val="100"/>
      </c:catAx>
      <c:valAx>
        <c:axId val="103625472"/>
        <c:scaling>
          <c:orientation val="minMax"/>
        </c:scaling>
        <c:axPos val="b"/>
        <c:majorGridlines>
          <c:spPr>
            <a:ln w="3174">
              <a:solidFill>
                <a:srgbClr val="808080"/>
              </a:solidFill>
              <a:prstDash val="solid"/>
            </a:ln>
          </c:spPr>
        </c:majorGridlines>
        <c:numFmt formatCode="General" sourceLinked="1"/>
        <c:majorTickMark val="none"/>
        <c:tickLblPos val="nextTo"/>
        <c:spPr>
          <a:ln w="3174">
            <a:solidFill>
              <a:srgbClr val="808080"/>
            </a:solidFill>
            <a:prstDash val="solid"/>
          </a:ln>
        </c:spPr>
        <c:crossAx val="103296000"/>
        <c:crosses val="autoZero"/>
        <c:crossBetween val="between"/>
      </c:valAx>
      <c:spPr>
        <a:solidFill>
          <a:srgbClr val="FFFFFF"/>
        </a:solidFill>
        <a:ln w="25389">
          <a:noFill/>
        </a:ln>
      </c:spPr>
    </c:plotArea>
    <c:legend>
      <c:legendPos val="r"/>
      <c:layout>
        <c:manualLayout>
          <c:xMode val="edge"/>
          <c:yMode val="edge"/>
          <c:x val="0.79367709909199502"/>
          <c:y val="0.43389819050000056"/>
          <c:w val="0.17970053624383031"/>
          <c:h val="0.38644084176845683"/>
        </c:manualLayout>
      </c:layout>
      <c:spPr>
        <a:noFill/>
        <a:ln w="25389">
          <a:noFill/>
        </a:ln>
      </c:spPr>
    </c:legend>
    <c:plotVisOnly val="1"/>
    <c:dispBlanksAs val="gap"/>
  </c:chart>
  <c:spPr>
    <a:solidFill>
      <a:srgbClr val="FFFFFF"/>
    </a:solidFill>
    <a:ln w="3174">
      <a:solidFill>
        <a:srgbClr val="808080"/>
      </a:solidFill>
      <a:prstDash val="solid"/>
    </a:ln>
  </c:spPr>
  <c:txPr>
    <a:bodyPr/>
    <a:lstStyle/>
    <a:p>
      <a:pPr>
        <a:defRPr sz="800"/>
      </a:pPr>
      <a:endParaRPr lang="de-DE"/>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e-DE"/>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Cambria"/>
                <a:ea typeface="Cambria"/>
                <a:cs typeface="Cambria"/>
              </a:defRPr>
            </a:pPr>
            <a:r>
              <a:rPr lang="de-DE"/>
              <a:t>Müslümanlar Konusundaki Düşüncelere İlişkin Sonuçlar </a:t>
            </a:r>
          </a:p>
        </c:rich>
      </c:tx>
      <c:spPr>
        <a:noFill/>
        <a:ln w="25389">
          <a:noFill/>
        </a:ln>
      </c:spPr>
    </c:title>
    <c:plotArea>
      <c:layout>
        <c:manualLayout>
          <c:layoutTarget val="inner"/>
          <c:xMode val="edge"/>
          <c:yMode val="edge"/>
          <c:x val="0.4048442906574396"/>
          <c:y val="0.16398713826366559"/>
          <c:w val="0.35986159169550197"/>
          <c:h val="0.74919614147909963"/>
        </c:manualLayout>
      </c:layout>
      <c:barChart>
        <c:barDir val="bar"/>
        <c:grouping val="clustered"/>
        <c:ser>
          <c:idx val="0"/>
          <c:order val="0"/>
          <c:tx>
            <c:strRef>
              <c:f>Blatt1!$B$1</c:f>
              <c:strCache>
                <c:ptCount val="1"/>
                <c:pt idx="0">
                  <c:v>Tüm Toplum</c:v>
                </c:pt>
              </c:strCache>
            </c:strRef>
          </c:tx>
          <c:spPr>
            <a:solidFill>
              <a:srgbClr val="4F81BD"/>
            </a:solidFill>
            <a:ln w="25389">
              <a:noFill/>
            </a:ln>
          </c:spPr>
          <c:dLbls>
            <c:spPr>
              <a:noFill/>
              <a:ln w="25389">
                <a:noFill/>
              </a:ln>
            </c:spPr>
            <c:showVal val="1"/>
          </c:dLbls>
          <c:cat>
            <c:strRef>
              <c:f>Blatt1!$A$2:$A$7</c:f>
              <c:strCache>
                <c:ptCount val="6"/>
                <c:pt idx="0">
                  <c:v>Müslümanlar daha fazla tanınmalıdır</c:v>
                </c:pt>
                <c:pt idx="1">
                  <c:v>Müslümanlar aynı ölçüde eğitim odaklıdır</c:v>
                </c:pt>
                <c:pt idx="2">
                  <c:v>Müslümanlar daha agresiftir </c:v>
                </c:pt>
                <c:pt idx="3">
                  <c:v>Çocuğu müslümanların çok olduğu bir okula gönderirdim</c:v>
                </c:pt>
                <c:pt idx="4">
                  <c:v>Müslimanlar sosyal sisteme yük getiriyor </c:v>
                </c:pt>
                <c:pt idx="5">
                  <c:v>İslam kültürü Almanya'yı zenginleştiriyor</c:v>
                </c:pt>
              </c:strCache>
            </c:strRef>
          </c:cat>
          <c:val>
            <c:numRef>
              <c:f>Blatt1!$B$2:$B$7</c:f>
              <c:numCache>
                <c:formatCode>General</c:formatCode>
                <c:ptCount val="6"/>
                <c:pt idx="0">
                  <c:v>67</c:v>
                </c:pt>
                <c:pt idx="1">
                  <c:v>55</c:v>
                </c:pt>
                <c:pt idx="2">
                  <c:v>27</c:v>
                </c:pt>
                <c:pt idx="3">
                  <c:v>60</c:v>
                </c:pt>
                <c:pt idx="4">
                  <c:v>21</c:v>
                </c:pt>
                <c:pt idx="5">
                  <c:v>54</c:v>
                </c:pt>
              </c:numCache>
            </c:numRef>
          </c:val>
        </c:ser>
        <c:ser>
          <c:idx val="1"/>
          <c:order val="1"/>
          <c:tx>
            <c:strRef>
              <c:f>Blatt1!$C$1</c:f>
              <c:strCache>
                <c:ptCount val="1"/>
                <c:pt idx="0">
                  <c:v>Aktif Öğretmenler </c:v>
                </c:pt>
              </c:strCache>
            </c:strRef>
          </c:tx>
          <c:spPr>
            <a:solidFill>
              <a:srgbClr val="C0504D"/>
            </a:solidFill>
            <a:ln w="25389">
              <a:noFill/>
            </a:ln>
          </c:spPr>
          <c:dLbls>
            <c:spPr>
              <a:noFill/>
              <a:ln w="25389">
                <a:noFill/>
              </a:ln>
            </c:spPr>
            <c:showVal val="1"/>
          </c:dLbls>
          <c:cat>
            <c:strRef>
              <c:f>Blatt1!$A$2:$A$7</c:f>
              <c:strCache>
                <c:ptCount val="6"/>
                <c:pt idx="0">
                  <c:v>Müslümanlar daha fazla tanınmalıdır</c:v>
                </c:pt>
                <c:pt idx="1">
                  <c:v>Müslümanlar aynı ölçüde eğitim odaklıdır</c:v>
                </c:pt>
                <c:pt idx="2">
                  <c:v>Müslümanlar daha agresiftir </c:v>
                </c:pt>
                <c:pt idx="3">
                  <c:v>Çocuğu müslümanların çok olduğu bir okula gönderirdim</c:v>
                </c:pt>
                <c:pt idx="4">
                  <c:v>Müslimanlar sosyal sisteme yük getiriyor </c:v>
                </c:pt>
                <c:pt idx="5">
                  <c:v>İslam kültürü Almanya'yı zenginleştiriyor</c:v>
                </c:pt>
              </c:strCache>
            </c:strRef>
          </c:cat>
          <c:val>
            <c:numRef>
              <c:f>Blatt1!$C$2:$C$7</c:f>
              <c:numCache>
                <c:formatCode>General</c:formatCode>
                <c:ptCount val="6"/>
                <c:pt idx="0">
                  <c:v>78</c:v>
                </c:pt>
                <c:pt idx="1">
                  <c:v>63</c:v>
                </c:pt>
                <c:pt idx="2">
                  <c:v>15</c:v>
                </c:pt>
                <c:pt idx="3">
                  <c:v>71</c:v>
                </c:pt>
                <c:pt idx="4">
                  <c:v>10</c:v>
                </c:pt>
                <c:pt idx="5">
                  <c:v>76</c:v>
                </c:pt>
              </c:numCache>
            </c:numRef>
          </c:val>
        </c:ser>
        <c:ser>
          <c:idx val="2"/>
          <c:order val="2"/>
          <c:tx>
            <c:strRef>
              <c:f>Blatt1!$D$1</c:f>
              <c:strCache>
                <c:ptCount val="1"/>
                <c:pt idx="0">
                  <c:v>Eski Öğretmenler</c:v>
                </c:pt>
              </c:strCache>
            </c:strRef>
          </c:tx>
          <c:spPr>
            <a:solidFill>
              <a:srgbClr val="9BBB59"/>
            </a:solidFill>
            <a:ln w="25389">
              <a:noFill/>
            </a:ln>
          </c:spPr>
          <c:dLbls>
            <c:spPr>
              <a:noFill/>
              <a:ln w="25389">
                <a:noFill/>
              </a:ln>
            </c:spPr>
            <c:showVal val="1"/>
          </c:dLbls>
          <c:cat>
            <c:strRef>
              <c:f>Blatt1!$A$2:$A$7</c:f>
              <c:strCache>
                <c:ptCount val="6"/>
                <c:pt idx="0">
                  <c:v>Müslümanlar daha fazla tanınmalıdır</c:v>
                </c:pt>
                <c:pt idx="1">
                  <c:v>Müslümanlar aynı ölçüde eğitim odaklıdır</c:v>
                </c:pt>
                <c:pt idx="2">
                  <c:v>Müslümanlar daha agresiftir </c:v>
                </c:pt>
                <c:pt idx="3">
                  <c:v>Çocuğu müslümanların çok olduğu bir okula gönderirdim</c:v>
                </c:pt>
                <c:pt idx="4">
                  <c:v>Müslimanlar sosyal sisteme yük getiriyor </c:v>
                </c:pt>
                <c:pt idx="5">
                  <c:v>İslam kültürü Almanya'yı zenginleştiriyor</c:v>
                </c:pt>
              </c:strCache>
            </c:strRef>
          </c:cat>
          <c:val>
            <c:numRef>
              <c:f>Blatt1!$D$2:$D$7</c:f>
              <c:numCache>
                <c:formatCode>General</c:formatCode>
                <c:ptCount val="6"/>
                <c:pt idx="0">
                  <c:v>66</c:v>
                </c:pt>
                <c:pt idx="1">
                  <c:v>54</c:v>
                </c:pt>
                <c:pt idx="2">
                  <c:v>27</c:v>
                </c:pt>
                <c:pt idx="3">
                  <c:v>52</c:v>
                </c:pt>
                <c:pt idx="4">
                  <c:v>27</c:v>
                </c:pt>
                <c:pt idx="5">
                  <c:v>47</c:v>
                </c:pt>
              </c:numCache>
            </c:numRef>
          </c:val>
        </c:ser>
        <c:ser>
          <c:idx val="3"/>
          <c:order val="3"/>
          <c:tx>
            <c:strRef>
              <c:f>Blatt1!$E$1</c:f>
              <c:strCache>
                <c:ptCount val="1"/>
                <c:pt idx="0">
                  <c:v>Öğretmen Adayları</c:v>
                </c:pt>
              </c:strCache>
            </c:strRef>
          </c:tx>
          <c:spPr>
            <a:solidFill>
              <a:srgbClr val="8064A2"/>
            </a:solidFill>
            <a:ln w="25389">
              <a:noFill/>
            </a:ln>
          </c:spPr>
          <c:dLbls>
            <c:spPr>
              <a:noFill/>
              <a:ln w="25389">
                <a:noFill/>
              </a:ln>
            </c:spPr>
            <c:showVal val="1"/>
          </c:dLbls>
          <c:cat>
            <c:strRef>
              <c:f>Blatt1!$A$2:$A$7</c:f>
              <c:strCache>
                <c:ptCount val="6"/>
                <c:pt idx="0">
                  <c:v>Müslümanlar daha fazla tanınmalıdır</c:v>
                </c:pt>
                <c:pt idx="1">
                  <c:v>Müslümanlar aynı ölçüde eğitim odaklıdır</c:v>
                </c:pt>
                <c:pt idx="2">
                  <c:v>Müslümanlar daha agresiftir </c:v>
                </c:pt>
                <c:pt idx="3">
                  <c:v>Çocuğu müslümanların çok olduğu bir okula gönderirdim</c:v>
                </c:pt>
                <c:pt idx="4">
                  <c:v>Müslimanlar sosyal sisteme yük getiriyor </c:v>
                </c:pt>
                <c:pt idx="5">
                  <c:v>İslam kültürü Almanya'yı zenginleştiriyor</c:v>
                </c:pt>
              </c:strCache>
            </c:strRef>
          </c:cat>
          <c:val>
            <c:numRef>
              <c:f>Blatt1!$E$2:$E$7</c:f>
              <c:numCache>
                <c:formatCode>General</c:formatCode>
                <c:ptCount val="6"/>
                <c:pt idx="0">
                  <c:v>83</c:v>
                </c:pt>
                <c:pt idx="1">
                  <c:v>56</c:v>
                </c:pt>
                <c:pt idx="2">
                  <c:v>25</c:v>
                </c:pt>
                <c:pt idx="3">
                  <c:v>71</c:v>
                </c:pt>
                <c:pt idx="4">
                  <c:v>13</c:v>
                </c:pt>
                <c:pt idx="5">
                  <c:v>62</c:v>
                </c:pt>
              </c:numCache>
            </c:numRef>
          </c:val>
        </c:ser>
        <c:ser>
          <c:idx val="4"/>
          <c:order val="4"/>
          <c:tx>
            <c:strRef>
              <c:f>Blatt1!$F$1</c:f>
              <c:strCache>
                <c:ptCount val="1"/>
                <c:pt idx="0">
                  <c:v>Tüm Öğretmenler</c:v>
                </c:pt>
              </c:strCache>
            </c:strRef>
          </c:tx>
          <c:spPr>
            <a:solidFill>
              <a:srgbClr val="4BACC6"/>
            </a:solidFill>
            <a:ln w="25389">
              <a:noFill/>
            </a:ln>
          </c:spPr>
          <c:dLbls>
            <c:spPr>
              <a:noFill/>
              <a:ln w="25389">
                <a:noFill/>
              </a:ln>
            </c:spPr>
            <c:showVal val="1"/>
          </c:dLbls>
          <c:cat>
            <c:strRef>
              <c:f>Blatt1!$A$2:$A$7</c:f>
              <c:strCache>
                <c:ptCount val="6"/>
                <c:pt idx="0">
                  <c:v>Müslümanlar daha fazla tanınmalıdır</c:v>
                </c:pt>
                <c:pt idx="1">
                  <c:v>Müslümanlar aynı ölçüde eğitim odaklıdır</c:v>
                </c:pt>
                <c:pt idx="2">
                  <c:v>Müslümanlar daha agresiftir </c:v>
                </c:pt>
                <c:pt idx="3">
                  <c:v>Çocuğu müslümanların çok olduğu bir okula gönderirdim</c:v>
                </c:pt>
                <c:pt idx="4">
                  <c:v>Müslimanlar sosyal sisteme yük getiriyor </c:v>
                </c:pt>
                <c:pt idx="5">
                  <c:v>İslam kültürü Almanya'yı zenginleştiriyor</c:v>
                </c:pt>
              </c:strCache>
            </c:strRef>
          </c:cat>
          <c:val>
            <c:numRef>
              <c:f>Blatt1!$F$2:$F$7</c:f>
              <c:numCache>
                <c:formatCode>General</c:formatCode>
                <c:ptCount val="6"/>
                <c:pt idx="0">
                  <c:v>79</c:v>
                </c:pt>
                <c:pt idx="1">
                  <c:v>61</c:v>
                </c:pt>
                <c:pt idx="2">
                  <c:v>17</c:v>
                </c:pt>
                <c:pt idx="3">
                  <c:v>71</c:v>
                </c:pt>
                <c:pt idx="4">
                  <c:v>10</c:v>
                </c:pt>
                <c:pt idx="5">
                  <c:v>73</c:v>
                </c:pt>
              </c:numCache>
            </c:numRef>
          </c:val>
        </c:ser>
        <c:axId val="103585280"/>
        <c:axId val="103586816"/>
      </c:barChart>
      <c:catAx>
        <c:axId val="103585280"/>
        <c:scaling>
          <c:orientation val="minMax"/>
        </c:scaling>
        <c:axPos val="l"/>
        <c:numFmt formatCode="General" sourceLinked="1"/>
        <c:majorTickMark val="none"/>
        <c:tickLblPos val="nextTo"/>
        <c:spPr>
          <a:ln w="3174">
            <a:solidFill>
              <a:srgbClr val="808080"/>
            </a:solidFill>
            <a:prstDash val="solid"/>
          </a:ln>
        </c:spPr>
        <c:txPr>
          <a:bodyPr/>
          <a:lstStyle/>
          <a:p>
            <a:pPr>
              <a:defRPr sz="900" b="1" i="0"/>
            </a:pPr>
            <a:endParaRPr lang="de-DE"/>
          </a:p>
        </c:txPr>
        <c:crossAx val="103586816"/>
        <c:crosses val="autoZero"/>
        <c:auto val="1"/>
        <c:lblAlgn val="ctr"/>
        <c:lblOffset val="100"/>
      </c:catAx>
      <c:valAx>
        <c:axId val="103586816"/>
        <c:scaling>
          <c:orientation val="minMax"/>
        </c:scaling>
        <c:axPos val="b"/>
        <c:majorGridlines>
          <c:spPr>
            <a:ln w="3174">
              <a:solidFill>
                <a:srgbClr val="808080"/>
              </a:solidFill>
              <a:prstDash val="solid"/>
            </a:ln>
          </c:spPr>
        </c:majorGridlines>
        <c:numFmt formatCode="General" sourceLinked="1"/>
        <c:majorTickMark val="none"/>
        <c:tickLblPos val="nextTo"/>
        <c:spPr>
          <a:ln w="3174">
            <a:solidFill>
              <a:srgbClr val="808080"/>
            </a:solidFill>
            <a:prstDash val="solid"/>
          </a:ln>
        </c:spPr>
        <c:crossAx val="103585280"/>
        <c:crosses val="autoZero"/>
        <c:crossBetween val="between"/>
      </c:valAx>
      <c:spPr>
        <a:solidFill>
          <a:srgbClr val="FFFFFF"/>
        </a:solidFill>
        <a:ln w="25389">
          <a:noFill/>
        </a:ln>
      </c:spPr>
    </c:plotArea>
    <c:legend>
      <c:legendPos val="r"/>
      <c:layout>
        <c:manualLayout>
          <c:xMode val="edge"/>
          <c:yMode val="edge"/>
          <c:x val="0.78719723183390999"/>
          <c:y val="0.36012861736334439"/>
          <c:w val="0.18685121107266445"/>
          <c:h val="0.36655948553054685"/>
        </c:manualLayout>
      </c:layout>
      <c:spPr>
        <a:noFill/>
        <a:ln w="25389">
          <a:noFill/>
        </a:ln>
      </c:spPr>
    </c:legend>
    <c:plotVisOnly val="1"/>
    <c:dispBlanksAs val="gap"/>
  </c:chart>
  <c:spPr>
    <a:solidFill>
      <a:srgbClr val="FFFFFF"/>
    </a:solidFill>
    <a:ln w="3174">
      <a:solidFill>
        <a:srgbClr val="808080"/>
      </a:solidFill>
      <a:prstDash val="solid"/>
    </a:ln>
  </c:spPr>
  <c:txPr>
    <a:bodyPr/>
    <a:lstStyle/>
    <a:p>
      <a:pPr>
        <a:defRPr sz="800" b="0" i="0" u="none" strike="noStrike" baseline="0">
          <a:solidFill>
            <a:srgbClr val="000000"/>
          </a:solidFill>
          <a:latin typeface="Cambria"/>
          <a:ea typeface="Cambria"/>
          <a:cs typeface="Cambria"/>
        </a:defRPr>
      </a:pPr>
      <a:endParaRPr lang="de-DE"/>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e-DE"/>
  <c:clrMapOvr bg1="lt1" tx1="dk1" bg2="lt2" tx2="dk2" accent1="accent1" accent2="accent2" accent3="accent3" accent4="accent4" accent5="accent5" accent6="accent6" hlink="hlink" folHlink="folHlink"/>
  <c:chart>
    <c:title>
      <c:tx>
        <c:rich>
          <a:bodyPr/>
          <a:lstStyle/>
          <a:p>
            <a:pPr>
              <a:defRPr sz="1000"/>
            </a:pPr>
            <a:r>
              <a:rPr lang="tr-TR" sz="1000" b="1" i="0" u="none" strike="noStrike" baseline="0" dirty="0" smtClean="0">
                <a:effectLst/>
              </a:rPr>
              <a:t>Öğretmenlerin Müslümanlar Hakkındaki Bilgilerine İlişkin Öz Değerlendirmeleri </a:t>
            </a:r>
            <a:endParaRPr lang="tr-TR" sz="1000" dirty="0">
              <a:effectLst/>
            </a:endParaRPr>
          </a:p>
        </c:rich>
      </c:tx>
      <c:spPr>
        <a:noFill/>
        <a:ln w="25388">
          <a:noFill/>
        </a:ln>
      </c:spPr>
    </c:title>
    <c:plotArea>
      <c:layout>
        <c:manualLayout>
          <c:layoutTarget val="inner"/>
          <c:xMode val="edge"/>
          <c:yMode val="edge"/>
          <c:x val="7.8694455357712675E-2"/>
          <c:y val="0.11240692276830096"/>
          <c:w val="0.8370957371579284"/>
          <c:h val="0.51739899672202871"/>
        </c:manualLayout>
      </c:layout>
      <c:barChart>
        <c:barDir val="col"/>
        <c:grouping val="clustered"/>
        <c:ser>
          <c:idx val="0"/>
          <c:order val="0"/>
          <c:tx>
            <c:strRef>
              <c:f>Blatt1!$B$1</c:f>
              <c:strCache>
                <c:ptCount val="1"/>
                <c:pt idx="0">
                  <c:v>Tüm Nüfus</c:v>
                </c:pt>
              </c:strCache>
            </c:strRef>
          </c:tx>
          <c:spPr>
            <a:solidFill>
              <a:srgbClr val="4572A7"/>
            </a:solidFill>
            <a:ln w="25388">
              <a:noFill/>
            </a:ln>
          </c:spPr>
          <c:dLbls>
            <c:spPr>
              <a:noFill/>
              <a:ln w="25388">
                <a:noFill/>
              </a:ln>
            </c:spPr>
            <c:showVal val="1"/>
          </c:dLbls>
          <c:cat>
            <c:numRef>
              <c:f>Blatt1!$A$2</c:f>
              <c:numCache>
                <c:formatCode>General</c:formatCode>
                <c:ptCount val="1"/>
              </c:numCache>
            </c:numRef>
          </c:cat>
          <c:val>
            <c:numRef>
              <c:f>Blatt1!$B$2</c:f>
              <c:numCache>
                <c:formatCode>General</c:formatCode>
                <c:ptCount val="1"/>
                <c:pt idx="0">
                  <c:v>31</c:v>
                </c:pt>
              </c:numCache>
            </c:numRef>
          </c:val>
        </c:ser>
        <c:ser>
          <c:idx val="1"/>
          <c:order val="1"/>
          <c:tx>
            <c:strRef>
              <c:f>Blatt1!$C$1</c:f>
              <c:strCache>
                <c:ptCount val="1"/>
                <c:pt idx="0">
                  <c:v>Tüm Öğretmenler</c:v>
                </c:pt>
              </c:strCache>
            </c:strRef>
          </c:tx>
          <c:spPr>
            <a:solidFill>
              <a:srgbClr val="AA4643"/>
            </a:solidFill>
            <a:ln w="25388">
              <a:noFill/>
            </a:ln>
          </c:spPr>
          <c:dLbls>
            <c:spPr>
              <a:noFill/>
              <a:ln w="25388">
                <a:noFill/>
              </a:ln>
            </c:spPr>
            <c:showVal val="1"/>
          </c:dLbls>
          <c:cat>
            <c:numRef>
              <c:f>Blatt1!$A$2</c:f>
              <c:numCache>
                <c:formatCode>General</c:formatCode>
                <c:ptCount val="1"/>
              </c:numCache>
            </c:numRef>
          </c:cat>
          <c:val>
            <c:numRef>
              <c:f>Blatt1!$C$2</c:f>
              <c:numCache>
                <c:formatCode>General</c:formatCode>
                <c:ptCount val="1"/>
                <c:pt idx="0">
                  <c:v>54</c:v>
                </c:pt>
              </c:numCache>
            </c:numRef>
          </c:val>
        </c:ser>
        <c:ser>
          <c:idx val="2"/>
          <c:order val="2"/>
          <c:tx>
            <c:strRef>
              <c:f>Blatt1!$D$1</c:f>
              <c:strCache>
                <c:ptCount val="1"/>
                <c:pt idx="0">
                  <c:v>Aktif Öğretmenler </c:v>
                </c:pt>
              </c:strCache>
            </c:strRef>
          </c:tx>
          <c:spPr>
            <a:solidFill>
              <a:srgbClr val="89A54E"/>
            </a:solidFill>
            <a:ln w="25388">
              <a:noFill/>
            </a:ln>
          </c:spPr>
          <c:dLbls>
            <c:spPr>
              <a:noFill/>
              <a:ln w="25388">
                <a:noFill/>
              </a:ln>
            </c:spPr>
            <c:showVal val="1"/>
          </c:dLbls>
          <c:cat>
            <c:numRef>
              <c:f>Blatt1!$A$2</c:f>
              <c:numCache>
                <c:formatCode>General</c:formatCode>
                <c:ptCount val="1"/>
              </c:numCache>
            </c:numRef>
          </c:cat>
          <c:val>
            <c:numRef>
              <c:f>Blatt1!$D$2</c:f>
              <c:numCache>
                <c:formatCode>General</c:formatCode>
                <c:ptCount val="1"/>
                <c:pt idx="0">
                  <c:v>60</c:v>
                </c:pt>
              </c:numCache>
            </c:numRef>
          </c:val>
        </c:ser>
        <c:ser>
          <c:idx val="3"/>
          <c:order val="3"/>
          <c:tx>
            <c:strRef>
              <c:f>Blatt1!$E$1</c:f>
              <c:strCache>
                <c:ptCount val="1"/>
                <c:pt idx="0">
                  <c:v>Eski Öğretmenler </c:v>
                </c:pt>
              </c:strCache>
            </c:strRef>
          </c:tx>
          <c:spPr>
            <a:solidFill>
              <a:srgbClr val="71588F"/>
            </a:solidFill>
            <a:ln w="25388">
              <a:noFill/>
            </a:ln>
          </c:spPr>
          <c:dLbls>
            <c:spPr>
              <a:noFill/>
              <a:ln w="25388">
                <a:noFill/>
              </a:ln>
            </c:spPr>
            <c:showVal val="1"/>
          </c:dLbls>
          <c:cat>
            <c:numRef>
              <c:f>Blatt1!$A$2</c:f>
              <c:numCache>
                <c:formatCode>General</c:formatCode>
                <c:ptCount val="1"/>
              </c:numCache>
            </c:numRef>
          </c:cat>
          <c:val>
            <c:numRef>
              <c:f>Blatt1!$E$2</c:f>
              <c:numCache>
                <c:formatCode>General</c:formatCode>
                <c:ptCount val="1"/>
                <c:pt idx="0">
                  <c:v>47</c:v>
                </c:pt>
              </c:numCache>
            </c:numRef>
          </c:val>
        </c:ser>
        <c:ser>
          <c:idx val="4"/>
          <c:order val="4"/>
          <c:tx>
            <c:strRef>
              <c:f>Blatt1!$F$1</c:f>
              <c:strCache>
                <c:ptCount val="1"/>
                <c:pt idx="0">
                  <c:v>Öğretmen  Adayları</c:v>
                </c:pt>
              </c:strCache>
            </c:strRef>
          </c:tx>
          <c:spPr>
            <a:solidFill>
              <a:srgbClr val="4198AF"/>
            </a:solidFill>
            <a:ln w="25388">
              <a:noFill/>
            </a:ln>
          </c:spPr>
          <c:dLbls>
            <c:spPr>
              <a:noFill/>
              <a:ln w="25388">
                <a:noFill/>
              </a:ln>
            </c:spPr>
            <c:showVal val="1"/>
          </c:dLbls>
          <c:cat>
            <c:numRef>
              <c:f>Blatt1!$A$2</c:f>
              <c:numCache>
                <c:formatCode>General</c:formatCode>
                <c:ptCount val="1"/>
              </c:numCache>
            </c:numRef>
          </c:cat>
          <c:val>
            <c:numRef>
              <c:f>Blatt1!$F$2</c:f>
              <c:numCache>
                <c:formatCode>General</c:formatCode>
                <c:ptCount val="1"/>
                <c:pt idx="0">
                  <c:v>49</c:v>
                </c:pt>
              </c:numCache>
            </c:numRef>
          </c:val>
        </c:ser>
        <c:ser>
          <c:idx val="5"/>
          <c:order val="5"/>
          <c:tx>
            <c:strRef>
              <c:f>Blatt1!$G$1</c:f>
              <c:strCache>
                <c:ptCount val="1"/>
                <c:pt idx="0">
                  <c:v>Batı Eyaletlerdeki Öğretmenler</c:v>
                </c:pt>
              </c:strCache>
            </c:strRef>
          </c:tx>
          <c:spPr>
            <a:solidFill>
              <a:srgbClr val="DB843D"/>
            </a:solidFill>
            <a:ln w="25388">
              <a:noFill/>
            </a:ln>
          </c:spPr>
          <c:dLbls>
            <c:spPr>
              <a:noFill/>
              <a:ln w="25388">
                <a:noFill/>
              </a:ln>
            </c:spPr>
            <c:showVal val="1"/>
          </c:dLbls>
          <c:cat>
            <c:numRef>
              <c:f>Blatt1!$A$2</c:f>
              <c:numCache>
                <c:formatCode>General</c:formatCode>
                <c:ptCount val="1"/>
              </c:numCache>
            </c:numRef>
          </c:cat>
          <c:val>
            <c:numRef>
              <c:f>Blatt1!$G$2</c:f>
              <c:numCache>
                <c:formatCode>General</c:formatCode>
                <c:ptCount val="1"/>
                <c:pt idx="0">
                  <c:v>61</c:v>
                </c:pt>
              </c:numCache>
            </c:numRef>
          </c:val>
        </c:ser>
        <c:ser>
          <c:idx val="6"/>
          <c:order val="6"/>
          <c:tx>
            <c:strRef>
              <c:f>Blatt1!$H$1</c:f>
              <c:strCache>
                <c:ptCount val="1"/>
                <c:pt idx="0">
                  <c:v>Doğu Eyaletlerdeki Öğretmenler2</c:v>
                </c:pt>
              </c:strCache>
            </c:strRef>
          </c:tx>
          <c:spPr>
            <a:solidFill>
              <a:srgbClr val="93A9CF"/>
            </a:solidFill>
            <a:ln w="25388">
              <a:noFill/>
            </a:ln>
          </c:spPr>
          <c:dLbls>
            <c:spPr>
              <a:noFill/>
              <a:ln w="25388">
                <a:noFill/>
              </a:ln>
            </c:spPr>
            <c:showVal val="1"/>
          </c:dLbls>
          <c:cat>
            <c:numRef>
              <c:f>Blatt1!$A$2</c:f>
              <c:numCache>
                <c:formatCode>General</c:formatCode>
                <c:ptCount val="1"/>
              </c:numCache>
            </c:numRef>
          </c:cat>
          <c:val>
            <c:numRef>
              <c:f>Blatt1!$H$2</c:f>
              <c:numCache>
                <c:formatCode>General</c:formatCode>
                <c:ptCount val="1"/>
                <c:pt idx="0">
                  <c:v>24</c:v>
                </c:pt>
              </c:numCache>
            </c:numRef>
          </c:val>
        </c:ser>
        <c:ser>
          <c:idx val="7"/>
          <c:order val="7"/>
          <c:tx>
            <c:strRef>
              <c:f>Blatt1!$I$1</c:f>
              <c:strCache>
                <c:ptCount val="1"/>
                <c:pt idx="0">
                  <c:v>Batı Eyaletlerdeki Tüm Nüfus</c:v>
                </c:pt>
              </c:strCache>
            </c:strRef>
          </c:tx>
          <c:spPr>
            <a:solidFill>
              <a:srgbClr val="D19392"/>
            </a:solidFill>
            <a:ln w="25388">
              <a:noFill/>
            </a:ln>
          </c:spPr>
          <c:dLbls>
            <c:spPr>
              <a:noFill/>
              <a:ln w="25388">
                <a:noFill/>
              </a:ln>
            </c:spPr>
            <c:showVal val="1"/>
          </c:dLbls>
          <c:cat>
            <c:numRef>
              <c:f>Blatt1!$A$2</c:f>
              <c:numCache>
                <c:formatCode>General</c:formatCode>
                <c:ptCount val="1"/>
              </c:numCache>
            </c:numRef>
          </c:cat>
          <c:val>
            <c:numRef>
              <c:f>Blatt1!$I$2</c:f>
              <c:numCache>
                <c:formatCode>General</c:formatCode>
                <c:ptCount val="1"/>
                <c:pt idx="0">
                  <c:v>34</c:v>
                </c:pt>
              </c:numCache>
            </c:numRef>
          </c:val>
        </c:ser>
        <c:ser>
          <c:idx val="8"/>
          <c:order val="8"/>
          <c:tx>
            <c:strRef>
              <c:f>Blatt1!$J$1</c:f>
              <c:strCache>
                <c:ptCount val="1"/>
                <c:pt idx="0">
                  <c:v>Doğu Eyaletlerdeki Tüm Nüfus</c:v>
                </c:pt>
              </c:strCache>
            </c:strRef>
          </c:tx>
          <c:spPr>
            <a:solidFill>
              <a:srgbClr val="B9CD96"/>
            </a:solidFill>
            <a:ln w="25388">
              <a:noFill/>
            </a:ln>
          </c:spPr>
          <c:dLbls>
            <c:spPr>
              <a:noFill/>
              <a:ln w="25388">
                <a:noFill/>
              </a:ln>
            </c:spPr>
            <c:showVal val="1"/>
          </c:dLbls>
          <c:cat>
            <c:numRef>
              <c:f>Blatt1!$A$2</c:f>
              <c:numCache>
                <c:formatCode>General</c:formatCode>
                <c:ptCount val="1"/>
              </c:numCache>
            </c:numRef>
          </c:cat>
          <c:val>
            <c:numRef>
              <c:f>Blatt1!$J$2</c:f>
              <c:numCache>
                <c:formatCode>General</c:formatCode>
                <c:ptCount val="1"/>
                <c:pt idx="0">
                  <c:v>18</c:v>
                </c:pt>
              </c:numCache>
            </c:numRef>
          </c:val>
        </c:ser>
        <c:gapWidth val="75"/>
        <c:overlap val="-25"/>
        <c:axId val="103711488"/>
        <c:axId val="103713024"/>
      </c:barChart>
      <c:catAx>
        <c:axId val="103711488"/>
        <c:scaling>
          <c:orientation val="minMax"/>
        </c:scaling>
        <c:delete val="1"/>
        <c:axPos val="b"/>
        <c:numFmt formatCode="General" sourceLinked="1"/>
        <c:tickLblPos val="nextTo"/>
        <c:crossAx val="103713024"/>
        <c:crosses val="autoZero"/>
        <c:auto val="1"/>
        <c:lblAlgn val="ctr"/>
        <c:lblOffset val="100"/>
      </c:catAx>
      <c:valAx>
        <c:axId val="103713024"/>
        <c:scaling>
          <c:orientation val="minMax"/>
          <c:max val="100"/>
        </c:scaling>
        <c:axPos val="l"/>
        <c:majorGridlines>
          <c:spPr>
            <a:ln w="3174">
              <a:solidFill>
                <a:srgbClr val="808080"/>
              </a:solidFill>
              <a:prstDash val="solid"/>
            </a:ln>
          </c:spPr>
        </c:majorGridlines>
        <c:numFmt formatCode="General" sourceLinked="1"/>
        <c:majorTickMark val="none"/>
        <c:tickLblPos val="nextTo"/>
        <c:spPr>
          <a:ln w="9521">
            <a:noFill/>
          </a:ln>
        </c:spPr>
        <c:txPr>
          <a:bodyPr/>
          <a:lstStyle/>
          <a:p>
            <a:pPr>
              <a:defRPr normalizeH="1"/>
            </a:pPr>
            <a:endParaRPr lang="de-DE"/>
          </a:p>
        </c:txPr>
        <c:crossAx val="103711488"/>
        <c:crosses val="autoZero"/>
        <c:crossBetween val="between"/>
      </c:valAx>
      <c:spPr>
        <a:solidFill>
          <a:srgbClr val="FFFFFF"/>
        </a:solidFill>
        <a:ln w="25388">
          <a:noFill/>
        </a:ln>
      </c:spPr>
    </c:plotArea>
    <c:legend>
      <c:legendPos val="r"/>
      <c:layout>
        <c:manualLayout>
          <c:xMode val="edge"/>
          <c:yMode val="edge"/>
          <c:x val="9.1514143094842015E-2"/>
          <c:y val="0.7830508474576271"/>
          <c:w val="0.81863560732113194"/>
          <c:h val="0.22033898305084745"/>
        </c:manualLayout>
      </c:layout>
      <c:spPr>
        <a:noFill/>
        <a:ln w="25388">
          <a:noFill/>
        </a:ln>
      </c:spPr>
    </c:legend>
    <c:plotVisOnly val="1"/>
    <c:dispBlanksAs val="gap"/>
  </c:chart>
  <c:spPr>
    <a:solidFill>
      <a:srgbClr val="FFFFFF"/>
    </a:solidFill>
    <a:ln w="3174">
      <a:solidFill>
        <a:srgbClr val="808080"/>
      </a:solidFill>
      <a:prstDash val="solid"/>
    </a:ln>
  </c:spPr>
  <c:txPr>
    <a:bodyPr/>
    <a:lstStyle/>
    <a:p>
      <a:pPr>
        <a:defRPr sz="800"/>
      </a:pPr>
      <a:endParaRPr lang="de-DE"/>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e-DE"/>
  <c:clrMapOvr bg1="lt1" tx1="dk1" bg2="lt2" tx2="dk2" accent1="accent1" accent2="accent2" accent3="accent3" accent4="accent4" accent5="accent5" accent6="accent6" hlink="hlink" folHlink="folHlink"/>
  <c:chart>
    <c:plotArea>
      <c:layout>
        <c:manualLayout>
          <c:layoutTarget val="inner"/>
          <c:xMode val="edge"/>
          <c:yMode val="edge"/>
          <c:x val="0.16774193548387106"/>
          <c:y val="8.8235294117647106E-2"/>
          <c:w val="0.43010752688172044"/>
          <c:h val="0.82352941176470584"/>
        </c:manualLayout>
      </c:layout>
      <c:barChart>
        <c:barDir val="col"/>
        <c:grouping val="clustered"/>
        <c:ser>
          <c:idx val="0"/>
          <c:order val="0"/>
          <c:tx>
            <c:strRef>
              <c:f>Blatt1!$B$1</c:f>
              <c:strCache>
                <c:ptCount val="1"/>
                <c:pt idx="0">
                  <c:v>Göçmen Kökenli Olmayan</c:v>
                </c:pt>
              </c:strCache>
            </c:strRef>
          </c:tx>
          <c:spPr>
            <a:solidFill>
              <a:srgbClr val="4F81BD"/>
            </a:solidFill>
            <a:ln w="25399">
              <a:noFill/>
            </a:ln>
          </c:spPr>
          <c:dLbls>
            <c:dLbl>
              <c:idx val="3"/>
              <c:delete val="1"/>
            </c:dLbl>
            <c:spPr>
              <a:noFill/>
              <a:ln w="25399">
                <a:noFill/>
              </a:ln>
            </c:spPr>
            <c:txPr>
              <a:bodyPr/>
              <a:lstStyle/>
              <a:p>
                <a:pPr>
                  <a:defRPr sz="1000"/>
                </a:pPr>
                <a:endParaRPr lang="de-DE"/>
              </a:p>
            </c:txPr>
            <c:showVal val="1"/>
          </c:dLbls>
          <c:cat>
            <c:numRef>
              <c:f>Blatt1!$A$2:$A$5</c:f>
              <c:numCache>
                <c:formatCode>General</c:formatCode>
                <c:ptCount val="4"/>
              </c:numCache>
            </c:numRef>
          </c:cat>
          <c:val>
            <c:numRef>
              <c:f>Blatt1!$B$2:$B$5</c:f>
              <c:numCache>
                <c:formatCode>General</c:formatCode>
                <c:ptCount val="4"/>
                <c:pt idx="0">
                  <c:v>0.05</c:v>
                </c:pt>
                <c:pt idx="3">
                  <c:v>0</c:v>
                </c:pt>
              </c:numCache>
            </c:numRef>
          </c:val>
        </c:ser>
        <c:ser>
          <c:idx val="1"/>
          <c:order val="1"/>
          <c:tx>
            <c:strRef>
              <c:f>Blatt1!$C$1</c:f>
              <c:strCache>
                <c:ptCount val="1"/>
                <c:pt idx="0">
                  <c:v>Türk (2. Nesil)</c:v>
                </c:pt>
              </c:strCache>
            </c:strRef>
          </c:tx>
          <c:spPr>
            <a:solidFill>
              <a:srgbClr val="C0504D"/>
            </a:solidFill>
            <a:ln w="25399">
              <a:noFill/>
            </a:ln>
          </c:spPr>
          <c:dLbls>
            <c:spPr>
              <a:noFill/>
              <a:ln w="25399">
                <a:noFill/>
              </a:ln>
            </c:spPr>
            <c:txPr>
              <a:bodyPr/>
              <a:lstStyle/>
              <a:p>
                <a:pPr>
                  <a:defRPr sz="1000"/>
                </a:pPr>
                <a:endParaRPr lang="de-DE"/>
              </a:p>
            </c:txPr>
            <c:showVal val="1"/>
          </c:dLbls>
          <c:cat>
            <c:numRef>
              <c:f>Blatt1!$A$2:$A$5</c:f>
              <c:numCache>
                <c:formatCode>General</c:formatCode>
                <c:ptCount val="4"/>
              </c:numCache>
            </c:numRef>
          </c:cat>
          <c:val>
            <c:numRef>
              <c:f>Blatt1!$C$2:$C$5</c:f>
              <c:numCache>
                <c:formatCode>General</c:formatCode>
                <c:ptCount val="4"/>
                <c:pt idx="0">
                  <c:v>-0.11</c:v>
                </c:pt>
              </c:numCache>
            </c:numRef>
          </c:val>
        </c:ser>
        <c:ser>
          <c:idx val="2"/>
          <c:order val="2"/>
          <c:tx>
            <c:strRef>
              <c:f>Blatt1!$D$1</c:f>
              <c:strCache>
                <c:ptCount val="1"/>
                <c:pt idx="0">
                  <c:v>Doğu Avrupalı  (2. Nesil)</c:v>
                </c:pt>
              </c:strCache>
            </c:strRef>
          </c:tx>
          <c:spPr>
            <a:solidFill>
              <a:srgbClr val="9BBB59"/>
            </a:solidFill>
            <a:ln w="25399">
              <a:noFill/>
            </a:ln>
          </c:spPr>
          <c:dLbls>
            <c:spPr>
              <a:noFill/>
              <a:ln w="25399">
                <a:noFill/>
              </a:ln>
            </c:spPr>
            <c:txPr>
              <a:bodyPr/>
              <a:lstStyle/>
              <a:p>
                <a:pPr>
                  <a:defRPr sz="1000"/>
                </a:pPr>
                <a:endParaRPr lang="de-DE"/>
              </a:p>
            </c:txPr>
            <c:showVal val="1"/>
          </c:dLbls>
          <c:cat>
            <c:numRef>
              <c:f>Blatt1!$A$2:$A$5</c:f>
              <c:numCache>
                <c:formatCode>General</c:formatCode>
                <c:ptCount val="4"/>
              </c:numCache>
            </c:numRef>
          </c:cat>
          <c:val>
            <c:numRef>
              <c:f>Blatt1!$D$2:$D$5</c:f>
              <c:numCache>
                <c:formatCode>General</c:formatCode>
                <c:ptCount val="4"/>
                <c:pt idx="0">
                  <c:v>7.0000000000000021E-2</c:v>
                </c:pt>
              </c:numCache>
            </c:numRef>
          </c:val>
        </c:ser>
        <c:axId val="103961344"/>
        <c:axId val="103962880"/>
      </c:barChart>
      <c:catAx>
        <c:axId val="103961344"/>
        <c:scaling>
          <c:orientation val="minMax"/>
        </c:scaling>
        <c:axPos val="b"/>
        <c:numFmt formatCode="General" sourceLinked="1"/>
        <c:tickLblPos val="nextTo"/>
        <c:spPr>
          <a:ln w="3175">
            <a:solidFill>
              <a:srgbClr val="808080"/>
            </a:solidFill>
            <a:prstDash val="solid"/>
          </a:ln>
        </c:spPr>
        <c:crossAx val="103962880"/>
        <c:crosses val="autoZero"/>
        <c:auto val="1"/>
        <c:lblAlgn val="ctr"/>
        <c:lblOffset val="100"/>
      </c:catAx>
      <c:valAx>
        <c:axId val="103962880"/>
        <c:scaling>
          <c:orientation val="minMax"/>
          <c:max val="8.0000000000000043E-2"/>
        </c:scaling>
        <c:axPos val="l"/>
        <c:majorGridlines>
          <c:spPr>
            <a:ln w="3175">
              <a:solidFill>
                <a:srgbClr val="808080"/>
              </a:solidFill>
              <a:prstDash val="solid"/>
            </a:ln>
          </c:spPr>
        </c:majorGridlines>
        <c:title>
          <c:tx>
            <c:rich>
              <a:bodyPr/>
              <a:lstStyle/>
              <a:p>
                <a:pPr>
                  <a:defRPr sz="1800" b="0" i="0" u="none" strike="noStrike" baseline="0">
                    <a:solidFill>
                      <a:srgbClr val="000000"/>
                    </a:solidFill>
                    <a:latin typeface="Cambria"/>
                    <a:ea typeface="Cambria"/>
                    <a:cs typeface="Cambria"/>
                  </a:defRPr>
                </a:pPr>
                <a:r>
                  <a:rPr lang="de-DE" sz="1000" b="1" i="0" strike="noStrike">
                    <a:solidFill>
                      <a:srgbClr val="000000"/>
                    </a:solidFill>
                    <a:latin typeface="Cambria"/>
                  </a:rPr>
                  <a:t>Standart sapma</a:t>
                </a:r>
              </a:p>
            </c:rich>
          </c:tx>
          <c:spPr>
            <a:noFill/>
            <a:ln w="25399">
              <a:noFill/>
            </a:ln>
          </c:spPr>
        </c:title>
        <c:numFmt formatCode="General" sourceLinked="1"/>
        <c:tickLblPos val="nextTo"/>
        <c:spPr>
          <a:ln w="3175">
            <a:solidFill>
              <a:srgbClr val="808080"/>
            </a:solidFill>
            <a:prstDash val="solid"/>
          </a:ln>
        </c:spPr>
        <c:txPr>
          <a:bodyPr/>
          <a:lstStyle/>
          <a:p>
            <a:pPr>
              <a:defRPr sz="1000"/>
            </a:pPr>
            <a:endParaRPr lang="de-DE"/>
          </a:p>
        </c:txPr>
        <c:crossAx val="103961344"/>
        <c:crosses val="autoZero"/>
        <c:crossBetween val="between"/>
      </c:valAx>
      <c:spPr>
        <a:solidFill>
          <a:srgbClr val="FFFFFF"/>
        </a:solidFill>
        <a:ln w="25399">
          <a:noFill/>
        </a:ln>
      </c:spPr>
    </c:plotArea>
    <c:legend>
      <c:legendPos val="r"/>
      <c:layout>
        <c:manualLayout>
          <c:xMode val="edge"/>
          <c:yMode val="edge"/>
          <c:x val="0.62150538992206517"/>
          <c:y val="0.17156859722256484"/>
          <c:w val="0.35268824138769295"/>
          <c:h val="0.6078429861128245"/>
        </c:manualLayout>
      </c:layout>
      <c:spPr>
        <a:noFill/>
        <a:ln w="25399">
          <a:noFill/>
        </a:ln>
      </c:spPr>
      <c:txPr>
        <a:bodyPr/>
        <a:lstStyle/>
        <a:p>
          <a:pPr>
            <a:defRPr sz="1000"/>
          </a:pPr>
          <a:endParaRPr lang="de-DE"/>
        </a:p>
      </c:txPr>
    </c:legend>
    <c:plotVisOnly val="1"/>
    <c:dispBlanksAs val="gap"/>
  </c:chart>
  <c:spPr>
    <a:solidFill>
      <a:srgbClr val="FFFFFF"/>
    </a:solidFill>
    <a:ln w="3175">
      <a:solidFill>
        <a:srgbClr val="808080"/>
      </a:solidFill>
      <a:prstDash val="solid"/>
    </a:ln>
  </c:spPr>
  <c:txPr>
    <a:bodyPr/>
    <a:lstStyle/>
    <a:p>
      <a:pPr>
        <a:defRPr sz="1800"/>
      </a:pPr>
      <a:endParaRPr lang="de-DE"/>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de-DE"/>
  <c:clrMapOvr bg1="lt1" tx1="dk1" bg2="lt2" tx2="dk2" accent1="accent1" accent2="accent2" accent3="accent3" accent4="accent4" accent5="accent5" accent6="accent6" hlink="hlink" folHlink="folHlink"/>
  <c:chart>
    <c:plotArea>
      <c:layout>
        <c:manualLayout>
          <c:layoutTarget val="inner"/>
          <c:xMode val="edge"/>
          <c:yMode val="edge"/>
          <c:x val="0.16351074004740623"/>
          <c:y val="6.7359790306999623E-2"/>
          <c:w val="0.50333112850265127"/>
          <c:h val="0.89201522781115772"/>
        </c:manualLayout>
      </c:layout>
      <c:barChart>
        <c:barDir val="col"/>
        <c:grouping val="clustered"/>
        <c:ser>
          <c:idx val="0"/>
          <c:order val="0"/>
          <c:tx>
            <c:strRef>
              <c:f>Blatt1!$B$1</c:f>
              <c:strCache>
                <c:ptCount val="1"/>
                <c:pt idx="0">
                  <c:v>Göçmen Kökenli Olmayan</c:v>
                </c:pt>
              </c:strCache>
            </c:strRef>
          </c:tx>
          <c:spPr>
            <a:solidFill>
              <a:srgbClr val="4F81BD"/>
            </a:solidFill>
            <a:ln w="25367">
              <a:noFill/>
            </a:ln>
          </c:spPr>
          <c:dLbls>
            <c:dLbl>
              <c:idx val="3"/>
              <c:delete val="1"/>
            </c:dLbl>
            <c:spPr>
              <a:noFill/>
              <a:ln w="25367">
                <a:noFill/>
              </a:ln>
            </c:spPr>
            <c:txPr>
              <a:bodyPr/>
              <a:lstStyle/>
              <a:p>
                <a:pPr>
                  <a:defRPr sz="999"/>
                </a:pPr>
                <a:endParaRPr lang="de-DE"/>
              </a:p>
            </c:txPr>
            <c:showVal val="1"/>
          </c:dLbls>
          <c:cat>
            <c:numRef>
              <c:f>Blatt1!$A$2:$A$5</c:f>
              <c:numCache>
                <c:formatCode>General</c:formatCode>
                <c:ptCount val="4"/>
              </c:numCache>
            </c:numRef>
          </c:cat>
          <c:val>
            <c:numRef>
              <c:f>Blatt1!$B$2:$B$5</c:f>
              <c:numCache>
                <c:formatCode>General</c:formatCode>
                <c:ptCount val="4"/>
                <c:pt idx="0">
                  <c:v>4.0000000000000022E-2</c:v>
                </c:pt>
                <c:pt idx="3">
                  <c:v>0</c:v>
                </c:pt>
              </c:numCache>
            </c:numRef>
          </c:val>
        </c:ser>
        <c:ser>
          <c:idx val="1"/>
          <c:order val="1"/>
          <c:tx>
            <c:strRef>
              <c:f>Blatt1!$C$1</c:f>
              <c:strCache>
                <c:ptCount val="1"/>
                <c:pt idx="0">
                  <c:v>Türk (2. Nesil)</c:v>
                </c:pt>
              </c:strCache>
            </c:strRef>
          </c:tx>
          <c:spPr>
            <a:solidFill>
              <a:srgbClr val="C0504D"/>
            </a:solidFill>
            <a:ln w="25367">
              <a:noFill/>
            </a:ln>
          </c:spPr>
          <c:dLbls>
            <c:spPr>
              <a:noFill/>
              <a:ln w="25367">
                <a:noFill/>
              </a:ln>
            </c:spPr>
            <c:txPr>
              <a:bodyPr/>
              <a:lstStyle/>
              <a:p>
                <a:pPr>
                  <a:defRPr sz="999"/>
                </a:pPr>
                <a:endParaRPr lang="de-DE"/>
              </a:p>
            </c:txPr>
            <c:showVal val="1"/>
          </c:dLbls>
          <c:cat>
            <c:numRef>
              <c:f>Blatt1!$A$2:$A$5</c:f>
              <c:numCache>
                <c:formatCode>General</c:formatCode>
                <c:ptCount val="4"/>
              </c:numCache>
            </c:numRef>
          </c:cat>
          <c:val>
            <c:numRef>
              <c:f>Blatt1!$C$2:$C$5</c:f>
              <c:numCache>
                <c:formatCode>General</c:formatCode>
                <c:ptCount val="4"/>
                <c:pt idx="0">
                  <c:v>-7.0000000000000021E-2</c:v>
                </c:pt>
              </c:numCache>
            </c:numRef>
          </c:val>
        </c:ser>
        <c:ser>
          <c:idx val="2"/>
          <c:order val="2"/>
          <c:tx>
            <c:strRef>
              <c:f>Blatt1!$D$1</c:f>
              <c:strCache>
                <c:ptCount val="1"/>
                <c:pt idx="0">
                  <c:v>Doğu Avrupalı  (2. Nesil)</c:v>
                </c:pt>
              </c:strCache>
            </c:strRef>
          </c:tx>
          <c:spPr>
            <a:solidFill>
              <a:srgbClr val="9BBB59"/>
            </a:solidFill>
            <a:ln w="25367">
              <a:noFill/>
            </a:ln>
          </c:spPr>
          <c:dLbls>
            <c:spPr>
              <a:noFill/>
              <a:ln w="25367">
                <a:noFill/>
              </a:ln>
            </c:spPr>
            <c:txPr>
              <a:bodyPr/>
              <a:lstStyle/>
              <a:p>
                <a:pPr>
                  <a:defRPr sz="999"/>
                </a:pPr>
                <a:endParaRPr lang="de-DE"/>
              </a:p>
            </c:txPr>
            <c:showVal val="1"/>
          </c:dLbls>
          <c:cat>
            <c:numRef>
              <c:f>Blatt1!$A$2:$A$5</c:f>
              <c:numCache>
                <c:formatCode>General</c:formatCode>
                <c:ptCount val="4"/>
              </c:numCache>
            </c:numRef>
          </c:cat>
          <c:val>
            <c:numRef>
              <c:f>Blatt1!$D$2:$D$5</c:f>
              <c:numCache>
                <c:formatCode>General</c:formatCode>
                <c:ptCount val="4"/>
                <c:pt idx="0">
                  <c:v>4.0000000000000022E-2</c:v>
                </c:pt>
              </c:numCache>
            </c:numRef>
          </c:val>
        </c:ser>
        <c:axId val="104039168"/>
        <c:axId val="104040704"/>
      </c:barChart>
      <c:catAx>
        <c:axId val="104039168"/>
        <c:scaling>
          <c:orientation val="minMax"/>
        </c:scaling>
        <c:axPos val="b"/>
        <c:numFmt formatCode="General" sourceLinked="1"/>
        <c:tickLblPos val="nextTo"/>
        <c:spPr>
          <a:ln w="3171">
            <a:solidFill>
              <a:srgbClr val="808080"/>
            </a:solidFill>
            <a:prstDash val="solid"/>
          </a:ln>
        </c:spPr>
        <c:crossAx val="104040704"/>
        <c:crosses val="autoZero"/>
        <c:auto val="1"/>
        <c:lblAlgn val="ctr"/>
        <c:lblOffset val="100"/>
      </c:catAx>
      <c:valAx>
        <c:axId val="104040704"/>
        <c:scaling>
          <c:orientation val="minMax"/>
          <c:max val="8.0000000000000043E-2"/>
          <c:min val="-0.12000000000000002"/>
        </c:scaling>
        <c:axPos val="l"/>
        <c:majorGridlines>
          <c:spPr>
            <a:ln w="3171">
              <a:solidFill>
                <a:srgbClr val="808080"/>
              </a:solidFill>
              <a:prstDash val="solid"/>
            </a:ln>
          </c:spPr>
        </c:majorGridlines>
        <c:title>
          <c:tx>
            <c:rich>
              <a:bodyPr/>
              <a:lstStyle/>
              <a:p>
                <a:pPr>
                  <a:defRPr sz="1798" b="0" i="0" u="none" strike="noStrike" baseline="0">
                    <a:solidFill>
                      <a:srgbClr val="000000"/>
                    </a:solidFill>
                    <a:latin typeface="Cambria"/>
                    <a:ea typeface="Cambria"/>
                    <a:cs typeface="Cambria"/>
                  </a:defRPr>
                </a:pPr>
                <a:r>
                  <a:rPr lang="de-DE" sz="999" b="1" i="0" strike="noStrike">
                    <a:solidFill>
                      <a:srgbClr val="000000"/>
                    </a:solidFill>
                    <a:latin typeface="Cambria"/>
                  </a:rPr>
                  <a:t>Standart sapma</a:t>
                </a:r>
              </a:p>
            </c:rich>
          </c:tx>
          <c:spPr>
            <a:noFill/>
            <a:ln w="25367">
              <a:noFill/>
            </a:ln>
          </c:spPr>
        </c:title>
        <c:numFmt formatCode="General" sourceLinked="1"/>
        <c:tickLblPos val="nextTo"/>
        <c:spPr>
          <a:ln w="3171">
            <a:solidFill>
              <a:srgbClr val="808080"/>
            </a:solidFill>
            <a:prstDash val="solid"/>
          </a:ln>
        </c:spPr>
        <c:txPr>
          <a:bodyPr/>
          <a:lstStyle/>
          <a:p>
            <a:pPr>
              <a:defRPr sz="999"/>
            </a:pPr>
            <a:endParaRPr lang="de-DE"/>
          </a:p>
        </c:txPr>
        <c:crossAx val="104039168"/>
        <c:crosses val="autoZero"/>
        <c:crossBetween val="between"/>
      </c:valAx>
      <c:spPr>
        <a:solidFill>
          <a:srgbClr val="FFFFFF"/>
        </a:solidFill>
        <a:ln w="25367">
          <a:noFill/>
        </a:ln>
      </c:spPr>
    </c:plotArea>
    <c:legend>
      <c:legendPos val="r"/>
      <c:layout>
        <c:manualLayout>
          <c:xMode val="edge"/>
          <c:yMode val="edge"/>
          <c:x val="0.72984750152443656"/>
          <c:y val="0.16410278201207221"/>
          <c:w val="0.25054463741272726"/>
          <c:h val="0.74871796802638624"/>
        </c:manualLayout>
      </c:layout>
      <c:spPr>
        <a:noFill/>
        <a:ln w="25367">
          <a:noFill/>
        </a:ln>
      </c:spPr>
      <c:txPr>
        <a:bodyPr/>
        <a:lstStyle/>
        <a:p>
          <a:pPr>
            <a:defRPr sz="999"/>
          </a:pPr>
          <a:endParaRPr lang="de-DE"/>
        </a:p>
      </c:txPr>
    </c:legend>
    <c:plotVisOnly val="1"/>
    <c:dispBlanksAs val="gap"/>
  </c:chart>
  <c:spPr>
    <a:solidFill>
      <a:srgbClr val="FFFFFF"/>
    </a:solidFill>
    <a:ln w="3171">
      <a:solidFill>
        <a:srgbClr val="808080"/>
      </a:solidFill>
      <a:prstDash val="solid"/>
    </a:ln>
  </c:spPr>
  <c:txPr>
    <a:bodyPr/>
    <a:lstStyle/>
    <a:p>
      <a:pPr>
        <a:defRPr sz="1798" b="0" i="0" u="none" strike="noStrike" baseline="0">
          <a:solidFill>
            <a:srgbClr val="000000"/>
          </a:solidFill>
          <a:latin typeface="Cambria"/>
          <a:ea typeface="Cambria"/>
          <a:cs typeface="Cambria"/>
        </a:defRPr>
      </a:pPr>
      <a:endParaRPr lang="de-DE"/>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de-DE"/>
  <c:clrMapOvr bg1="lt1" tx1="dk1" bg2="lt2" tx2="dk2" accent1="accent1" accent2="accent2" accent3="accent3" accent4="accent4" accent5="accent5" accent6="accent6" hlink="hlink" folHlink="folHlink"/>
  <c:chart>
    <c:plotArea>
      <c:layout>
        <c:manualLayout>
          <c:layoutTarget val="inner"/>
          <c:xMode val="edge"/>
          <c:yMode val="edge"/>
          <c:x val="0.12707182320441973"/>
          <c:y val="9.0452261306532666E-2"/>
          <c:w val="0.51381215469613251"/>
          <c:h val="0.819095477386935"/>
        </c:manualLayout>
      </c:layout>
      <c:barChart>
        <c:barDir val="col"/>
        <c:grouping val="clustered"/>
        <c:ser>
          <c:idx val="0"/>
          <c:order val="0"/>
          <c:tx>
            <c:strRef>
              <c:f>Blatt1!$B$1</c:f>
              <c:strCache>
                <c:ptCount val="1"/>
                <c:pt idx="0">
                  <c:v>Göçmen Kökenli Olmayan</c:v>
                </c:pt>
              </c:strCache>
            </c:strRef>
          </c:tx>
          <c:spPr>
            <a:solidFill>
              <a:srgbClr val="4F81BD"/>
            </a:solidFill>
            <a:ln w="25400">
              <a:noFill/>
            </a:ln>
          </c:spPr>
          <c:dLbls>
            <c:dLbl>
              <c:idx val="3"/>
              <c:delete val="1"/>
            </c:dLbl>
            <c:spPr>
              <a:noFill/>
              <a:ln w="25400">
                <a:noFill/>
              </a:ln>
            </c:spPr>
            <c:txPr>
              <a:bodyPr/>
              <a:lstStyle/>
              <a:p>
                <a:pPr>
                  <a:defRPr sz="1000"/>
                </a:pPr>
                <a:endParaRPr lang="de-DE"/>
              </a:p>
            </c:txPr>
            <c:showVal val="1"/>
          </c:dLbls>
          <c:cat>
            <c:numRef>
              <c:f>Blatt1!$A$2:$A$5</c:f>
              <c:numCache>
                <c:formatCode>General</c:formatCode>
                <c:ptCount val="4"/>
              </c:numCache>
            </c:numRef>
          </c:cat>
          <c:val>
            <c:numRef>
              <c:f>Blatt1!$B$2:$B$5</c:f>
              <c:numCache>
                <c:formatCode>General</c:formatCode>
                <c:ptCount val="4"/>
                <c:pt idx="0">
                  <c:v>0.24000000000000007</c:v>
                </c:pt>
                <c:pt idx="3">
                  <c:v>0</c:v>
                </c:pt>
              </c:numCache>
            </c:numRef>
          </c:val>
        </c:ser>
        <c:ser>
          <c:idx val="1"/>
          <c:order val="1"/>
          <c:tx>
            <c:strRef>
              <c:f>Blatt1!$C$1</c:f>
              <c:strCache>
                <c:ptCount val="1"/>
                <c:pt idx="0">
                  <c:v>Türk (2. Nesil)</c:v>
                </c:pt>
              </c:strCache>
            </c:strRef>
          </c:tx>
          <c:spPr>
            <a:solidFill>
              <a:srgbClr val="C0504D"/>
            </a:solidFill>
            <a:ln w="25400">
              <a:noFill/>
            </a:ln>
          </c:spPr>
          <c:dLbls>
            <c:spPr>
              <a:noFill/>
              <a:ln w="25400">
                <a:noFill/>
              </a:ln>
            </c:spPr>
            <c:txPr>
              <a:bodyPr/>
              <a:lstStyle/>
              <a:p>
                <a:pPr>
                  <a:defRPr sz="1000"/>
                </a:pPr>
                <a:endParaRPr lang="de-DE"/>
              </a:p>
            </c:txPr>
            <c:showVal val="1"/>
          </c:dLbls>
          <c:cat>
            <c:numRef>
              <c:f>Blatt1!$A$2:$A$5</c:f>
              <c:numCache>
                <c:formatCode>General</c:formatCode>
                <c:ptCount val="4"/>
              </c:numCache>
            </c:numRef>
          </c:cat>
          <c:val>
            <c:numRef>
              <c:f>Blatt1!$C$2:$C$5</c:f>
              <c:numCache>
                <c:formatCode>General</c:formatCode>
                <c:ptCount val="4"/>
                <c:pt idx="0">
                  <c:v>-0.32000000000000017</c:v>
                </c:pt>
              </c:numCache>
            </c:numRef>
          </c:val>
        </c:ser>
        <c:ser>
          <c:idx val="2"/>
          <c:order val="2"/>
          <c:tx>
            <c:strRef>
              <c:f>Blatt1!$D$1</c:f>
              <c:strCache>
                <c:ptCount val="1"/>
                <c:pt idx="0">
                  <c:v>Doğu Avrupalı  (2. Nesil)</c:v>
                </c:pt>
              </c:strCache>
            </c:strRef>
          </c:tx>
          <c:spPr>
            <a:solidFill>
              <a:srgbClr val="9BBB59"/>
            </a:solidFill>
            <a:ln w="25400">
              <a:noFill/>
            </a:ln>
          </c:spPr>
          <c:dLbls>
            <c:spPr>
              <a:noFill/>
              <a:ln w="25400">
                <a:noFill/>
              </a:ln>
            </c:spPr>
            <c:txPr>
              <a:bodyPr/>
              <a:lstStyle/>
              <a:p>
                <a:pPr>
                  <a:defRPr sz="1000"/>
                </a:pPr>
                <a:endParaRPr lang="de-DE"/>
              </a:p>
            </c:txPr>
            <c:showVal val="1"/>
          </c:dLbls>
          <c:cat>
            <c:numRef>
              <c:f>Blatt1!$A$2:$A$5</c:f>
              <c:numCache>
                <c:formatCode>General</c:formatCode>
                <c:ptCount val="4"/>
              </c:numCache>
            </c:numRef>
          </c:cat>
          <c:val>
            <c:numRef>
              <c:f>Blatt1!$D$2:$D$5</c:f>
              <c:numCache>
                <c:formatCode>General</c:formatCode>
                <c:ptCount val="4"/>
                <c:pt idx="0">
                  <c:v>0.33000000000000024</c:v>
                </c:pt>
              </c:numCache>
            </c:numRef>
          </c:val>
        </c:ser>
        <c:axId val="104018688"/>
        <c:axId val="104020224"/>
      </c:barChart>
      <c:catAx>
        <c:axId val="104018688"/>
        <c:scaling>
          <c:orientation val="minMax"/>
        </c:scaling>
        <c:axPos val="b"/>
        <c:numFmt formatCode="General" sourceLinked="1"/>
        <c:tickLblPos val="nextTo"/>
        <c:spPr>
          <a:ln w="3175">
            <a:solidFill>
              <a:srgbClr val="808080"/>
            </a:solidFill>
            <a:prstDash val="solid"/>
          </a:ln>
        </c:spPr>
        <c:crossAx val="104020224"/>
        <c:crosses val="autoZero"/>
        <c:auto val="1"/>
        <c:lblAlgn val="ctr"/>
        <c:lblOffset val="100"/>
      </c:catAx>
      <c:valAx>
        <c:axId val="104020224"/>
        <c:scaling>
          <c:orientation val="minMax"/>
          <c:max val="0.4"/>
          <c:min val="-0.4"/>
        </c:scaling>
        <c:axPos val="l"/>
        <c:majorGridlines>
          <c:spPr>
            <a:ln w="3175">
              <a:solidFill>
                <a:srgbClr val="808080"/>
              </a:solidFill>
              <a:prstDash val="solid"/>
            </a:ln>
          </c:spPr>
        </c:majorGridlines>
        <c:title>
          <c:tx>
            <c:rich>
              <a:bodyPr/>
              <a:lstStyle/>
              <a:p>
                <a:pPr>
                  <a:defRPr sz="1000" b="1" i="0" u="none" strike="noStrike" baseline="0">
                    <a:solidFill>
                      <a:srgbClr val="000000"/>
                    </a:solidFill>
                    <a:latin typeface="Cambria"/>
                    <a:ea typeface="Cambria"/>
                    <a:cs typeface="Cambria"/>
                  </a:defRPr>
                </a:pPr>
                <a:r>
                  <a:rPr lang="de-DE"/>
                  <a:t>Standartsapma</a:t>
                </a:r>
              </a:p>
            </c:rich>
          </c:tx>
          <c:spPr>
            <a:noFill/>
            <a:ln w="25400">
              <a:noFill/>
            </a:ln>
          </c:spPr>
        </c:title>
        <c:numFmt formatCode="General" sourceLinked="1"/>
        <c:tickLblPos val="nextTo"/>
        <c:spPr>
          <a:ln w="3175">
            <a:solidFill>
              <a:srgbClr val="808080"/>
            </a:solidFill>
            <a:prstDash val="solid"/>
          </a:ln>
        </c:spPr>
        <c:txPr>
          <a:bodyPr/>
          <a:lstStyle/>
          <a:p>
            <a:pPr>
              <a:defRPr sz="1000"/>
            </a:pPr>
            <a:endParaRPr lang="de-DE"/>
          </a:p>
        </c:txPr>
        <c:crossAx val="104018688"/>
        <c:crosses val="autoZero"/>
        <c:crossBetween val="between"/>
      </c:valAx>
      <c:spPr>
        <a:solidFill>
          <a:srgbClr val="FFFFFF"/>
        </a:solidFill>
        <a:ln w="25400">
          <a:noFill/>
        </a:ln>
      </c:spPr>
    </c:plotArea>
    <c:legend>
      <c:legendPos val="r"/>
      <c:layout>
        <c:manualLayout>
          <c:xMode val="edge"/>
          <c:yMode val="edge"/>
          <c:x val="0.6648250460405164"/>
          <c:y val="0.28643216080402034"/>
          <c:w val="0.3149171270718234"/>
          <c:h val="0.38693467336683457"/>
        </c:manualLayout>
      </c:layout>
      <c:spPr>
        <a:noFill/>
        <a:ln w="25400">
          <a:noFill/>
        </a:ln>
      </c:spPr>
      <c:txPr>
        <a:bodyPr/>
        <a:lstStyle/>
        <a:p>
          <a:pPr>
            <a:defRPr sz="1000"/>
          </a:pPr>
          <a:endParaRPr lang="de-DE"/>
        </a:p>
      </c:txPr>
    </c:legend>
    <c:plotVisOnly val="1"/>
    <c:dispBlanksAs val="gap"/>
  </c:chart>
  <c:spPr>
    <a:solidFill>
      <a:srgbClr val="FFFFFF"/>
    </a:solidFill>
    <a:ln w="3175">
      <a:solidFill>
        <a:srgbClr val="808080"/>
      </a:solidFill>
      <a:prstDash val="solid"/>
    </a:ln>
  </c:spPr>
  <c:txPr>
    <a:bodyPr/>
    <a:lstStyle/>
    <a:p>
      <a:pPr>
        <a:defRPr sz="1800"/>
      </a:pPr>
      <a:endParaRPr lang="de-DE"/>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de-DE"/>
  <c:clrMapOvr bg1="lt1" tx1="dk1" bg2="lt2" tx2="dk2" accent1="accent1" accent2="accent2" accent3="accent3" accent4="accent4" accent5="accent5" accent6="accent6" hlink="hlink" folHlink="folHlink"/>
  <c:chart>
    <c:plotArea>
      <c:layout/>
      <c:barChart>
        <c:barDir val="col"/>
        <c:grouping val="clustered"/>
        <c:ser>
          <c:idx val="0"/>
          <c:order val="0"/>
          <c:tx>
            <c:strRef>
              <c:f>Blatt1!$B$1</c:f>
              <c:strCache>
                <c:ptCount val="1"/>
                <c:pt idx="0">
                  <c:v>Göçmen Kökenli Olmayan</c:v>
                </c:pt>
              </c:strCache>
            </c:strRef>
          </c:tx>
          <c:spPr>
            <a:solidFill>
              <a:srgbClr val="4F81BD"/>
            </a:solidFill>
            <a:ln w="25401">
              <a:noFill/>
            </a:ln>
          </c:spPr>
          <c:dLbls>
            <c:dLbl>
              <c:idx val="3"/>
              <c:delete val="1"/>
            </c:dLbl>
            <c:spPr>
              <a:noFill/>
              <a:ln w="25401">
                <a:noFill/>
              </a:ln>
            </c:spPr>
            <c:txPr>
              <a:bodyPr/>
              <a:lstStyle/>
              <a:p>
                <a:pPr>
                  <a:defRPr sz="1000"/>
                </a:pPr>
                <a:endParaRPr lang="de-DE"/>
              </a:p>
            </c:txPr>
            <c:showVal val="1"/>
          </c:dLbls>
          <c:cat>
            <c:numRef>
              <c:f>Blatt1!$A$2:$A$5</c:f>
              <c:numCache>
                <c:formatCode>General</c:formatCode>
                <c:ptCount val="4"/>
              </c:numCache>
            </c:numRef>
          </c:cat>
          <c:val>
            <c:numRef>
              <c:f>Blatt1!$B$2:$B$5</c:f>
              <c:numCache>
                <c:formatCode>General</c:formatCode>
                <c:ptCount val="4"/>
                <c:pt idx="0">
                  <c:v>0.22</c:v>
                </c:pt>
                <c:pt idx="3">
                  <c:v>0</c:v>
                </c:pt>
              </c:numCache>
            </c:numRef>
          </c:val>
        </c:ser>
        <c:ser>
          <c:idx val="1"/>
          <c:order val="1"/>
          <c:tx>
            <c:strRef>
              <c:f>Blatt1!$C$1</c:f>
              <c:strCache>
                <c:ptCount val="1"/>
                <c:pt idx="0">
                  <c:v>Türk (2. Nesil)</c:v>
                </c:pt>
              </c:strCache>
            </c:strRef>
          </c:tx>
          <c:spPr>
            <a:solidFill>
              <a:srgbClr val="C0504D"/>
            </a:solidFill>
            <a:ln w="25401">
              <a:noFill/>
            </a:ln>
          </c:spPr>
          <c:dLbls>
            <c:spPr>
              <a:noFill/>
              <a:ln w="25401">
                <a:noFill/>
              </a:ln>
            </c:spPr>
            <c:txPr>
              <a:bodyPr/>
              <a:lstStyle/>
              <a:p>
                <a:pPr>
                  <a:defRPr sz="1000"/>
                </a:pPr>
                <a:endParaRPr lang="de-DE"/>
              </a:p>
            </c:txPr>
            <c:showVal val="1"/>
          </c:dLbls>
          <c:cat>
            <c:numRef>
              <c:f>Blatt1!$A$2:$A$5</c:f>
              <c:numCache>
                <c:formatCode>General</c:formatCode>
                <c:ptCount val="4"/>
              </c:numCache>
            </c:numRef>
          </c:cat>
          <c:val>
            <c:numRef>
              <c:f>Blatt1!$C$2:$C$5</c:f>
              <c:numCache>
                <c:formatCode>General</c:formatCode>
                <c:ptCount val="4"/>
                <c:pt idx="0">
                  <c:v>-3.0000000000000002E-2</c:v>
                </c:pt>
              </c:numCache>
            </c:numRef>
          </c:val>
        </c:ser>
        <c:ser>
          <c:idx val="2"/>
          <c:order val="2"/>
          <c:tx>
            <c:strRef>
              <c:f>Blatt1!$D$1</c:f>
              <c:strCache>
                <c:ptCount val="1"/>
                <c:pt idx="0">
                  <c:v>Doğu Avrupalı  (2. Nesil)</c:v>
                </c:pt>
              </c:strCache>
            </c:strRef>
          </c:tx>
          <c:spPr>
            <a:solidFill>
              <a:srgbClr val="9BBB59"/>
            </a:solidFill>
            <a:ln w="25401">
              <a:noFill/>
            </a:ln>
          </c:spPr>
          <c:dLbls>
            <c:spPr>
              <a:noFill/>
              <a:ln w="25401">
                <a:noFill/>
              </a:ln>
            </c:spPr>
            <c:txPr>
              <a:bodyPr/>
              <a:lstStyle/>
              <a:p>
                <a:pPr>
                  <a:defRPr sz="1000"/>
                </a:pPr>
                <a:endParaRPr lang="de-DE"/>
              </a:p>
            </c:txPr>
            <c:showVal val="1"/>
          </c:dLbls>
          <c:cat>
            <c:numRef>
              <c:f>Blatt1!$A$2:$A$5</c:f>
              <c:numCache>
                <c:formatCode>General</c:formatCode>
                <c:ptCount val="4"/>
              </c:numCache>
            </c:numRef>
          </c:cat>
          <c:val>
            <c:numRef>
              <c:f>Blatt1!$D$2:$D$5</c:f>
              <c:numCache>
                <c:formatCode>General</c:formatCode>
                <c:ptCount val="4"/>
                <c:pt idx="0">
                  <c:v>0.21000000000000008</c:v>
                </c:pt>
              </c:numCache>
            </c:numRef>
          </c:val>
        </c:ser>
        <c:axId val="104145664"/>
        <c:axId val="104147200"/>
      </c:barChart>
      <c:catAx>
        <c:axId val="104145664"/>
        <c:scaling>
          <c:orientation val="minMax"/>
        </c:scaling>
        <c:axPos val="b"/>
        <c:numFmt formatCode="General" sourceLinked="1"/>
        <c:tickLblPos val="nextTo"/>
        <c:spPr>
          <a:ln w="3175">
            <a:solidFill>
              <a:srgbClr val="808080"/>
            </a:solidFill>
            <a:prstDash val="solid"/>
          </a:ln>
        </c:spPr>
        <c:crossAx val="104147200"/>
        <c:crosses val="autoZero"/>
        <c:auto val="1"/>
        <c:lblAlgn val="ctr"/>
        <c:lblOffset val="100"/>
      </c:catAx>
      <c:valAx>
        <c:axId val="104147200"/>
        <c:scaling>
          <c:orientation val="minMax"/>
          <c:max val="0.4"/>
          <c:min val="-0.4"/>
        </c:scaling>
        <c:axPos val="l"/>
        <c:majorGridlines>
          <c:spPr>
            <a:ln w="3175">
              <a:solidFill>
                <a:srgbClr val="808080"/>
              </a:solidFill>
              <a:prstDash val="solid"/>
            </a:ln>
          </c:spPr>
        </c:majorGridlines>
        <c:title>
          <c:tx>
            <c:rich>
              <a:bodyPr/>
              <a:lstStyle/>
              <a:p>
                <a:pPr>
                  <a:defRPr sz="1000" b="1" i="0" u="none" strike="noStrike" baseline="0">
                    <a:solidFill>
                      <a:srgbClr val="000000"/>
                    </a:solidFill>
                    <a:latin typeface="Cambria"/>
                    <a:ea typeface="Cambria"/>
                    <a:cs typeface="Cambria"/>
                  </a:defRPr>
                </a:pPr>
                <a:r>
                  <a:rPr lang="de-DE"/>
                  <a:t>Standartsapma</a:t>
                </a:r>
              </a:p>
            </c:rich>
          </c:tx>
          <c:spPr>
            <a:noFill/>
            <a:ln w="25401">
              <a:noFill/>
            </a:ln>
          </c:spPr>
        </c:title>
        <c:numFmt formatCode="General" sourceLinked="1"/>
        <c:tickLblPos val="nextTo"/>
        <c:spPr>
          <a:ln w="3175">
            <a:solidFill>
              <a:srgbClr val="808080"/>
            </a:solidFill>
            <a:prstDash val="solid"/>
          </a:ln>
        </c:spPr>
        <c:txPr>
          <a:bodyPr/>
          <a:lstStyle/>
          <a:p>
            <a:pPr>
              <a:defRPr sz="1000"/>
            </a:pPr>
            <a:endParaRPr lang="de-DE"/>
          </a:p>
        </c:txPr>
        <c:crossAx val="104145664"/>
        <c:crosses val="autoZero"/>
        <c:crossBetween val="between"/>
      </c:valAx>
      <c:spPr>
        <a:solidFill>
          <a:srgbClr val="FFFFFF"/>
        </a:solidFill>
        <a:ln w="25401">
          <a:noFill/>
        </a:ln>
      </c:spPr>
    </c:plotArea>
    <c:legend>
      <c:legendPos val="r"/>
      <c:layout>
        <c:manualLayout>
          <c:xMode val="edge"/>
          <c:yMode val="edge"/>
          <c:x val="0.66605504587155961"/>
          <c:y val="0.35849056603773582"/>
          <c:w val="0.31376146788990861"/>
          <c:h val="0.48427672955974876"/>
        </c:manualLayout>
      </c:layout>
      <c:spPr>
        <a:noFill/>
        <a:ln w="25401">
          <a:noFill/>
        </a:ln>
      </c:spPr>
      <c:txPr>
        <a:bodyPr/>
        <a:lstStyle/>
        <a:p>
          <a:pPr>
            <a:defRPr sz="1000"/>
          </a:pPr>
          <a:endParaRPr lang="de-DE"/>
        </a:p>
      </c:txPr>
    </c:legend>
    <c:plotVisOnly val="1"/>
    <c:dispBlanksAs val="gap"/>
  </c:chart>
  <c:spPr>
    <a:solidFill>
      <a:srgbClr val="FFFFFF"/>
    </a:solidFill>
    <a:ln w="3175">
      <a:solidFill>
        <a:srgbClr val="808080"/>
      </a:solidFill>
      <a:prstDash val="solid"/>
    </a:ln>
  </c:spPr>
  <c:txPr>
    <a:bodyPr/>
    <a:lstStyle/>
    <a:p>
      <a:pPr>
        <a:defRPr sz="1800"/>
      </a:pPr>
      <a:endParaRPr lang="de-DE"/>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de-DE"/>
  <c:style val="18"/>
  <c:clrMapOvr bg1="lt1" tx1="dk1" bg2="lt2" tx2="dk2" accent1="accent1" accent2="accent2" accent3="accent3" accent4="accent4" accent5="accent5" accent6="accent6" hlink="hlink" folHlink="folHlink"/>
  <c:chart>
    <c:plotArea>
      <c:layout>
        <c:manualLayout>
          <c:layoutTarget val="inner"/>
          <c:xMode val="edge"/>
          <c:yMode val="edge"/>
          <c:x val="0.2486678507992896"/>
          <c:y val="5.2469135802469126E-2"/>
          <c:w val="0.35879218472468932"/>
          <c:h val="0.47222222222222232"/>
        </c:manualLayout>
      </c:layout>
      <c:lineChart>
        <c:grouping val="standard"/>
        <c:ser>
          <c:idx val="0"/>
          <c:order val="0"/>
          <c:tx>
            <c:strRef>
              <c:f>Blatt1!$B$1</c:f>
              <c:strCache>
                <c:ptCount val="1"/>
                <c:pt idx="0">
                  <c:v>Etkileşim Süresi</c:v>
                </c:pt>
              </c:strCache>
            </c:strRef>
          </c:tx>
          <c:spPr>
            <a:ln w="38083">
              <a:solidFill>
                <a:srgbClr val="666699"/>
              </a:solidFill>
              <a:prstDash val="solid"/>
            </a:ln>
          </c:spPr>
          <c:marker>
            <c:spPr>
              <a:gradFill rotWithShape="0">
                <a:gsLst>
                  <a:gs pos="0">
                    <a:srgbClr val="9BC1FF"/>
                  </a:gs>
                  <a:gs pos="100000">
                    <a:srgbClr val="3F80CD"/>
                  </a:gs>
                </a:gsLst>
                <a:lin ang="5400000"/>
              </a:gradFill>
              <a:ln>
                <a:solidFill>
                  <a:srgbClr val="666699"/>
                </a:solidFill>
                <a:prstDash val="solid"/>
              </a:ln>
              <a:effectLst>
                <a:outerShdw dist="35921" dir="2700000" algn="br">
                  <a:srgbClr val="000000"/>
                </a:outerShdw>
              </a:effectLst>
            </c:spPr>
          </c:marker>
          <c:dLbls>
            <c:spPr>
              <a:noFill/>
              <a:ln w="25388">
                <a:noFill/>
              </a:ln>
            </c:spPr>
            <c:txPr>
              <a:bodyPr/>
              <a:lstStyle/>
              <a:p>
                <a:pPr>
                  <a:defRPr sz="1000"/>
                </a:pPr>
                <a:endParaRPr lang="de-DE"/>
              </a:p>
            </c:txPr>
            <c:showVal val="1"/>
          </c:dLbls>
          <c:cat>
            <c:strRef>
              <c:f>Blatt1!$A$2:$A$6</c:f>
              <c:strCache>
                <c:ptCount val="5"/>
                <c:pt idx="0">
                  <c:v>Çok Düşük Öğretmen Beklentisi</c:v>
                </c:pt>
                <c:pt idx="1">
                  <c:v>Düşük Öğretmen Beklentisi</c:v>
                </c:pt>
                <c:pt idx="2">
                  <c:v>Orta Öğretmen Beklentisi</c:v>
                </c:pt>
                <c:pt idx="3">
                  <c:v>Yüksek Öğretmen Beklentisi</c:v>
                </c:pt>
                <c:pt idx="4">
                  <c:v>Çok Yüksek Öğretmen Beklentisi</c:v>
                </c:pt>
              </c:strCache>
            </c:strRef>
          </c:cat>
          <c:val>
            <c:numRef>
              <c:f>Blatt1!$B$2:$B$6</c:f>
              <c:numCache>
                <c:formatCode>General</c:formatCode>
                <c:ptCount val="5"/>
                <c:pt idx="0" formatCode="0.00">
                  <c:v>2.5499999999999998</c:v>
                </c:pt>
                <c:pt idx="1">
                  <c:v>2.8099999999999987</c:v>
                </c:pt>
                <c:pt idx="2">
                  <c:v>3.07</c:v>
                </c:pt>
                <c:pt idx="3">
                  <c:v>3.3299999999999987</c:v>
                </c:pt>
                <c:pt idx="4">
                  <c:v>3.59</c:v>
                </c:pt>
              </c:numCache>
            </c:numRef>
          </c:val>
        </c:ser>
        <c:ser>
          <c:idx val="1"/>
          <c:order val="1"/>
          <c:tx>
            <c:strRef>
              <c:f>Blatt1!$C$1</c:f>
              <c:strCache>
                <c:ptCount val="1"/>
                <c:pt idx="0">
                  <c:v>Öğretmenin Öğrenciye Söz Vermesi</c:v>
                </c:pt>
              </c:strCache>
            </c:strRef>
          </c:tx>
          <c:spPr>
            <a:ln w="38083">
              <a:solidFill>
                <a:srgbClr val="DD2D32"/>
              </a:solidFill>
              <a:prstDash val="solid"/>
            </a:ln>
          </c:spPr>
          <c:marker>
            <c:spPr>
              <a:gradFill rotWithShape="0">
                <a:gsLst>
                  <a:gs pos="0">
                    <a:srgbClr val="FF9A99"/>
                  </a:gs>
                  <a:gs pos="100000">
                    <a:srgbClr val="D1403C"/>
                  </a:gs>
                </a:gsLst>
                <a:lin ang="5400000"/>
              </a:gradFill>
              <a:ln>
                <a:solidFill>
                  <a:srgbClr val="DD2D32"/>
                </a:solidFill>
                <a:prstDash val="solid"/>
              </a:ln>
              <a:effectLst>
                <a:outerShdw dist="35921" dir="2700000" algn="br">
                  <a:srgbClr val="000000"/>
                </a:outerShdw>
              </a:effectLst>
            </c:spPr>
          </c:marker>
          <c:dLbls>
            <c:spPr>
              <a:noFill/>
              <a:ln w="25388">
                <a:noFill/>
              </a:ln>
            </c:spPr>
            <c:txPr>
              <a:bodyPr/>
              <a:lstStyle/>
              <a:p>
                <a:pPr>
                  <a:defRPr sz="1000"/>
                </a:pPr>
                <a:endParaRPr lang="de-DE"/>
              </a:p>
            </c:txPr>
            <c:showVal val="1"/>
          </c:dLbls>
          <c:cat>
            <c:strRef>
              <c:f>Blatt1!$A$2:$A$6</c:f>
              <c:strCache>
                <c:ptCount val="5"/>
                <c:pt idx="0">
                  <c:v>Çok Düşük Öğretmen Beklentisi</c:v>
                </c:pt>
                <c:pt idx="1">
                  <c:v>Düşük Öğretmen Beklentisi</c:v>
                </c:pt>
                <c:pt idx="2">
                  <c:v>Orta Öğretmen Beklentisi</c:v>
                </c:pt>
                <c:pt idx="3">
                  <c:v>Yüksek Öğretmen Beklentisi</c:v>
                </c:pt>
                <c:pt idx="4">
                  <c:v>Çok Yüksek Öğretmen Beklentisi</c:v>
                </c:pt>
              </c:strCache>
            </c:strRef>
          </c:cat>
          <c:val>
            <c:numRef>
              <c:f>Blatt1!$C$2:$C$6</c:f>
              <c:numCache>
                <c:formatCode>General</c:formatCode>
                <c:ptCount val="5"/>
                <c:pt idx="0" formatCode="0.00">
                  <c:v>4</c:v>
                </c:pt>
                <c:pt idx="1">
                  <c:v>4.67</c:v>
                </c:pt>
                <c:pt idx="2">
                  <c:v>5.35</c:v>
                </c:pt>
                <c:pt idx="3">
                  <c:v>6.02</c:v>
                </c:pt>
                <c:pt idx="4">
                  <c:v>6.6899999999999995</c:v>
                </c:pt>
              </c:numCache>
            </c:numRef>
          </c:val>
        </c:ser>
        <c:marker val="1"/>
        <c:axId val="103923072"/>
        <c:axId val="104301696"/>
      </c:lineChart>
      <c:catAx>
        <c:axId val="103923072"/>
        <c:scaling>
          <c:orientation val="minMax"/>
        </c:scaling>
        <c:axPos val="b"/>
        <c:numFmt formatCode="General" sourceLinked="1"/>
        <c:tickLblPos val="nextTo"/>
        <c:spPr>
          <a:ln w="3174">
            <a:solidFill>
              <a:srgbClr val="808080"/>
            </a:solidFill>
            <a:prstDash val="solid"/>
          </a:ln>
        </c:spPr>
        <c:txPr>
          <a:bodyPr/>
          <a:lstStyle/>
          <a:p>
            <a:pPr>
              <a:defRPr sz="1199"/>
            </a:pPr>
            <a:endParaRPr lang="de-DE"/>
          </a:p>
        </c:txPr>
        <c:crossAx val="104301696"/>
        <c:crosses val="autoZero"/>
        <c:auto val="1"/>
        <c:lblAlgn val="ctr"/>
        <c:lblOffset val="100"/>
      </c:catAx>
      <c:valAx>
        <c:axId val="104301696"/>
        <c:scaling>
          <c:orientation val="minMax"/>
        </c:scaling>
        <c:axPos val="l"/>
        <c:majorGridlines>
          <c:spPr>
            <a:ln w="3174">
              <a:solidFill>
                <a:srgbClr val="808080"/>
              </a:solidFill>
              <a:prstDash val="solid"/>
            </a:ln>
          </c:spPr>
        </c:majorGridlines>
        <c:numFmt formatCode="0.00" sourceLinked="1"/>
        <c:tickLblPos val="nextTo"/>
        <c:spPr>
          <a:ln w="3174">
            <a:solidFill>
              <a:srgbClr val="808080"/>
            </a:solidFill>
            <a:prstDash val="solid"/>
          </a:ln>
        </c:spPr>
        <c:txPr>
          <a:bodyPr/>
          <a:lstStyle/>
          <a:p>
            <a:pPr>
              <a:defRPr sz="1000"/>
            </a:pPr>
            <a:endParaRPr lang="de-DE"/>
          </a:p>
        </c:txPr>
        <c:crossAx val="103923072"/>
        <c:crosses val="autoZero"/>
        <c:crossBetween val="between"/>
      </c:valAx>
      <c:spPr>
        <a:solidFill>
          <a:srgbClr val="FFFFFF"/>
        </a:solidFill>
        <a:ln w="25388">
          <a:noFill/>
        </a:ln>
      </c:spPr>
    </c:plotArea>
    <c:legend>
      <c:legendPos val="r"/>
      <c:layout>
        <c:manualLayout>
          <c:xMode val="edge"/>
          <c:yMode val="edge"/>
          <c:x val="0.63232682060390799"/>
          <c:y val="0.35493827160493852"/>
          <c:w val="0.34813499111900548"/>
          <c:h val="0.2901234567901233"/>
        </c:manualLayout>
      </c:layout>
      <c:spPr>
        <a:noFill/>
        <a:ln w="25388">
          <a:noFill/>
        </a:ln>
      </c:spPr>
      <c:txPr>
        <a:bodyPr/>
        <a:lstStyle/>
        <a:p>
          <a:pPr>
            <a:defRPr sz="1199"/>
          </a:pPr>
          <a:endParaRPr lang="de-DE"/>
        </a:p>
      </c:txPr>
    </c:legend>
    <c:plotVisOnly val="1"/>
    <c:dispBlanksAs val="zero"/>
  </c:chart>
  <c:spPr>
    <a:solidFill>
      <a:srgbClr val="FFFFFF"/>
    </a:solidFill>
    <a:ln w="3174">
      <a:solidFill>
        <a:srgbClr val="808080"/>
      </a:solidFill>
      <a:prstDash val="solid"/>
    </a:ln>
  </c:spPr>
  <c:txPr>
    <a:bodyPr/>
    <a:lstStyle/>
    <a:p>
      <a:pPr>
        <a:defRPr sz="1799"/>
      </a:pPr>
      <a:endParaRPr lang="de-DE"/>
    </a:p>
  </c:txPr>
  <c:externalData r:id="rId2"/>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2474</Words>
  <Characters>15588</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atase11</cp:lastModifiedBy>
  <cp:revision>2</cp:revision>
  <dcterms:created xsi:type="dcterms:W3CDTF">2017-08-03T08:47:00Z</dcterms:created>
  <dcterms:modified xsi:type="dcterms:W3CDTF">2017-08-03T08:47:00Z</dcterms:modified>
</cp:coreProperties>
</file>